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3CFCA" w14:textId="597F3A91" w:rsidR="0034478A" w:rsidRPr="003B1CAC" w:rsidRDefault="00B717FC" w:rsidP="00B717FC">
      <w:pPr>
        <w:pBdr>
          <w:top w:val="single" w:sz="4" w:space="1" w:color="auto"/>
          <w:left w:val="single" w:sz="4" w:space="4" w:color="auto"/>
          <w:bottom w:val="single" w:sz="4" w:space="1" w:color="auto"/>
          <w:right w:val="single" w:sz="4" w:space="4" w:color="auto"/>
        </w:pBdr>
        <w:shd w:val="clear" w:color="auto" w:fill="C6D9F1" w:themeFill="text2" w:themeFillTint="33"/>
        <w:tabs>
          <w:tab w:val="left" w:pos="480"/>
          <w:tab w:val="left" w:pos="1565"/>
          <w:tab w:val="center" w:pos="4819"/>
        </w:tabs>
        <w:rPr>
          <w:rFonts w:ascii="Verdana" w:hAnsi="Verdana" w:cs="Arial"/>
          <w:b/>
          <w:sz w:val="20"/>
          <w:szCs w:val="20"/>
          <w:lang w:val="nl-BE"/>
        </w:rPr>
      </w:pPr>
      <w:r>
        <w:rPr>
          <w:rFonts w:ascii="Verdana" w:hAnsi="Verdana" w:cs="Arial"/>
          <w:b/>
          <w:sz w:val="20"/>
          <w:szCs w:val="20"/>
          <w:lang w:val="nl-BE"/>
        </w:rPr>
        <w:tab/>
      </w:r>
      <w:r>
        <w:rPr>
          <w:rFonts w:ascii="Verdana" w:hAnsi="Verdana" w:cs="Arial"/>
          <w:b/>
          <w:sz w:val="20"/>
          <w:szCs w:val="20"/>
          <w:lang w:val="nl-BE"/>
        </w:rPr>
        <w:tab/>
      </w:r>
      <w:r>
        <w:rPr>
          <w:rFonts w:ascii="Verdana" w:hAnsi="Verdana" w:cs="Arial"/>
          <w:b/>
          <w:sz w:val="20"/>
          <w:szCs w:val="20"/>
          <w:lang w:val="nl-BE"/>
        </w:rPr>
        <w:tab/>
      </w:r>
      <w:r w:rsidR="00DE5214" w:rsidRPr="003B1CAC">
        <w:rPr>
          <w:rFonts w:ascii="Verdana" w:hAnsi="Verdana" w:cs="Arial"/>
          <w:b/>
          <w:sz w:val="20"/>
          <w:szCs w:val="20"/>
          <w:lang w:val="nl-BE"/>
        </w:rPr>
        <w:t>Richtlijnen</w:t>
      </w:r>
    </w:p>
    <w:p w14:paraId="71275F7B" w14:textId="33E594F9" w:rsidR="00D67A96" w:rsidRPr="003B1CAC" w:rsidRDefault="00D67A96" w:rsidP="002B30E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480"/>
        </w:tabs>
        <w:jc w:val="center"/>
        <w:rPr>
          <w:rFonts w:ascii="Verdana" w:hAnsi="Verdana" w:cs="Arial"/>
          <w:b/>
          <w:sz w:val="20"/>
          <w:szCs w:val="20"/>
          <w:lang w:val="nl-BE"/>
        </w:rPr>
      </w:pPr>
      <w:r w:rsidRPr="003B1CAC">
        <w:rPr>
          <w:rFonts w:ascii="Verdana" w:hAnsi="Verdana" w:cs="Arial"/>
          <w:b/>
          <w:sz w:val="20"/>
          <w:szCs w:val="20"/>
          <w:lang w:val="nl-BE"/>
        </w:rPr>
        <w:t>Paracetamol (orale en rectale toediening)</w:t>
      </w:r>
      <w:bookmarkStart w:id="0" w:name="_GoBack"/>
      <w:bookmarkEnd w:id="0"/>
      <w:r w:rsidR="00B717FC">
        <w:rPr>
          <w:rFonts w:ascii="Verdana" w:hAnsi="Verdana" w:cs="Arial"/>
          <w:b/>
          <w:sz w:val="20"/>
          <w:szCs w:val="20"/>
          <w:lang w:val="nl-BE"/>
        </w:rPr>
        <w:br/>
      </w:r>
    </w:p>
    <w:p w14:paraId="7CEFB278" w14:textId="77777777" w:rsidR="006773FA" w:rsidRPr="003B1CAC" w:rsidRDefault="006773FA" w:rsidP="002B30E8">
      <w:pPr>
        <w:tabs>
          <w:tab w:val="left" w:pos="480"/>
        </w:tabs>
        <w:rPr>
          <w:rFonts w:ascii="Verdana" w:hAnsi="Verdana" w:cs="Arial"/>
          <w:sz w:val="18"/>
          <w:szCs w:val="18"/>
          <w:u w:val="single"/>
          <w:lang w:val="nl-BE"/>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2"/>
        <w:gridCol w:w="7229"/>
      </w:tblGrid>
      <w:tr w:rsidR="00666FE4" w:rsidRPr="003B1CAC" w14:paraId="6F11F263" w14:textId="77777777" w:rsidTr="002B30E8">
        <w:tc>
          <w:tcPr>
            <w:tcW w:w="2402" w:type="dxa"/>
          </w:tcPr>
          <w:p w14:paraId="129EB070" w14:textId="4A6BEED4" w:rsidR="00666FE4" w:rsidRPr="003B1CAC" w:rsidRDefault="00666FE4" w:rsidP="002B30E8">
            <w:pPr>
              <w:ind w:right="72"/>
              <w:rPr>
                <w:rFonts w:ascii="Verdana" w:hAnsi="Verdana"/>
                <w:b/>
                <w:bCs/>
                <w:sz w:val="18"/>
                <w:szCs w:val="18"/>
                <w:lang w:val="nl-BE"/>
              </w:rPr>
            </w:pPr>
            <w:r w:rsidRPr="003B1CAC">
              <w:rPr>
                <w:rFonts w:ascii="Verdana" w:hAnsi="Verdana"/>
                <w:b/>
                <w:bCs/>
                <w:sz w:val="18"/>
                <w:szCs w:val="18"/>
                <w:lang w:val="nl-BE"/>
              </w:rPr>
              <w:t>INN</w:t>
            </w:r>
          </w:p>
        </w:tc>
        <w:tc>
          <w:tcPr>
            <w:tcW w:w="7229" w:type="dxa"/>
          </w:tcPr>
          <w:p w14:paraId="6CE3827D" w14:textId="5CDFA6A6" w:rsidR="00666FE4" w:rsidRPr="003B1CAC" w:rsidRDefault="00AD2E9F" w:rsidP="002B30E8">
            <w:pPr>
              <w:ind w:left="74"/>
              <w:rPr>
                <w:rFonts w:ascii="Verdana" w:hAnsi="Verdana"/>
                <w:sz w:val="18"/>
                <w:szCs w:val="18"/>
                <w:lang w:val="nl-BE"/>
              </w:rPr>
            </w:pPr>
            <w:r w:rsidRPr="003B1CAC">
              <w:rPr>
                <w:rFonts w:ascii="Verdana" w:hAnsi="Verdana"/>
                <w:sz w:val="18"/>
                <w:szCs w:val="18"/>
                <w:lang w:val="nl-BE"/>
              </w:rPr>
              <w:t>P</w:t>
            </w:r>
            <w:r w:rsidR="00650A33" w:rsidRPr="003B1CAC">
              <w:rPr>
                <w:rFonts w:ascii="Verdana" w:hAnsi="Verdana"/>
                <w:sz w:val="18"/>
                <w:szCs w:val="18"/>
                <w:lang w:val="nl-BE"/>
              </w:rPr>
              <w:t>aracetamol</w:t>
            </w:r>
          </w:p>
        </w:tc>
      </w:tr>
      <w:tr w:rsidR="00666FE4" w:rsidRPr="003B1CAC" w14:paraId="480216D1" w14:textId="77777777" w:rsidTr="002B30E8">
        <w:tc>
          <w:tcPr>
            <w:tcW w:w="2402" w:type="dxa"/>
          </w:tcPr>
          <w:p w14:paraId="1E8CBF45" w14:textId="77777777" w:rsidR="00666FE4" w:rsidRPr="003B1CAC" w:rsidRDefault="0034478A" w:rsidP="002B30E8">
            <w:pPr>
              <w:rPr>
                <w:rFonts w:ascii="Verdana" w:hAnsi="Verdana"/>
                <w:b/>
                <w:bCs/>
                <w:sz w:val="18"/>
                <w:szCs w:val="18"/>
                <w:lang w:val="nl-BE"/>
              </w:rPr>
            </w:pPr>
            <w:r w:rsidRPr="003B1CAC">
              <w:rPr>
                <w:rFonts w:ascii="Verdana" w:hAnsi="Verdana"/>
                <w:b/>
                <w:bCs/>
                <w:sz w:val="18"/>
                <w:szCs w:val="18"/>
                <w:lang w:val="nl-BE"/>
              </w:rPr>
              <w:t>ATC code</w:t>
            </w:r>
          </w:p>
        </w:tc>
        <w:tc>
          <w:tcPr>
            <w:tcW w:w="7229" w:type="dxa"/>
          </w:tcPr>
          <w:p w14:paraId="189284EC" w14:textId="77777777" w:rsidR="00666FE4" w:rsidRPr="003B1CAC" w:rsidRDefault="00DF284A" w:rsidP="002B30E8">
            <w:pPr>
              <w:ind w:left="74"/>
              <w:rPr>
                <w:rFonts w:ascii="Verdana" w:hAnsi="Verdana"/>
                <w:sz w:val="18"/>
                <w:szCs w:val="18"/>
                <w:lang w:val="nl-BE"/>
              </w:rPr>
            </w:pPr>
            <w:r w:rsidRPr="003B1CAC">
              <w:rPr>
                <w:rFonts w:ascii="Verdana" w:hAnsi="Verdana" w:cs="Arial"/>
                <w:sz w:val="18"/>
                <w:szCs w:val="18"/>
                <w:lang w:val="nl-BE"/>
              </w:rPr>
              <w:t>N02BE01</w:t>
            </w:r>
          </w:p>
        </w:tc>
      </w:tr>
      <w:tr w:rsidR="00666FE4" w:rsidRPr="003B1CAC" w14:paraId="2178FD80" w14:textId="77777777" w:rsidTr="002B30E8">
        <w:tc>
          <w:tcPr>
            <w:tcW w:w="2402" w:type="dxa"/>
          </w:tcPr>
          <w:p w14:paraId="13323BE7" w14:textId="77777777" w:rsidR="00666FE4" w:rsidRPr="003B1CAC" w:rsidRDefault="00666FE4" w:rsidP="002B30E8">
            <w:pPr>
              <w:rPr>
                <w:rFonts w:ascii="Verdana" w:hAnsi="Verdana"/>
                <w:b/>
                <w:bCs/>
                <w:sz w:val="18"/>
                <w:szCs w:val="18"/>
                <w:lang w:val="nl-BE"/>
              </w:rPr>
            </w:pPr>
            <w:r w:rsidRPr="003B1CAC">
              <w:rPr>
                <w:rFonts w:ascii="Verdana" w:hAnsi="Verdana"/>
                <w:b/>
                <w:bCs/>
                <w:sz w:val="18"/>
                <w:szCs w:val="18"/>
                <w:lang w:val="nl-BE"/>
              </w:rPr>
              <w:t>Indicati</w:t>
            </w:r>
            <w:r w:rsidR="0034478A" w:rsidRPr="003B1CAC">
              <w:rPr>
                <w:rFonts w:ascii="Verdana" w:hAnsi="Verdana"/>
                <w:b/>
                <w:bCs/>
                <w:sz w:val="18"/>
                <w:szCs w:val="18"/>
                <w:lang w:val="nl-BE"/>
              </w:rPr>
              <w:t>e</w:t>
            </w:r>
          </w:p>
        </w:tc>
        <w:tc>
          <w:tcPr>
            <w:tcW w:w="7229" w:type="dxa"/>
          </w:tcPr>
          <w:p w14:paraId="2CD9254E" w14:textId="29B62770" w:rsidR="00DF284A" w:rsidRPr="003B1CAC" w:rsidRDefault="00DF284A" w:rsidP="002B30E8">
            <w:pPr>
              <w:ind w:left="74"/>
              <w:rPr>
                <w:rFonts w:ascii="Verdana" w:hAnsi="Verdana"/>
                <w:sz w:val="18"/>
                <w:szCs w:val="18"/>
                <w:lang w:val="nl-BE"/>
              </w:rPr>
            </w:pPr>
            <w:r w:rsidRPr="003B1CAC">
              <w:rPr>
                <w:rFonts w:ascii="Verdana" w:hAnsi="Verdana" w:cs="Arial"/>
                <w:sz w:val="18"/>
                <w:szCs w:val="18"/>
                <w:lang w:val="nl-BE"/>
              </w:rPr>
              <w:t>Symptomatische behandeling van pijn en koorts</w:t>
            </w:r>
          </w:p>
        </w:tc>
      </w:tr>
    </w:tbl>
    <w:p w14:paraId="39A1DB03" w14:textId="77777777" w:rsidR="00666FE4" w:rsidRPr="003B1CAC" w:rsidRDefault="00666FE4" w:rsidP="002B30E8">
      <w:pPr>
        <w:tabs>
          <w:tab w:val="left" w:pos="480"/>
        </w:tabs>
        <w:rPr>
          <w:rFonts w:ascii="Verdana" w:hAnsi="Verdana" w:cs="Arial"/>
          <w:sz w:val="18"/>
          <w:szCs w:val="18"/>
          <w:u w:val="single"/>
          <w:lang w:val="nl-BE"/>
        </w:rPr>
      </w:pPr>
    </w:p>
    <w:p w14:paraId="115BCED2" w14:textId="77777777" w:rsidR="00B8381D" w:rsidRPr="003B1CAC" w:rsidRDefault="00B8381D" w:rsidP="002B30E8">
      <w:pPr>
        <w:tabs>
          <w:tab w:val="left" w:pos="480"/>
        </w:tabs>
        <w:rPr>
          <w:rFonts w:ascii="Verdana" w:hAnsi="Verdana" w:cs="Arial"/>
          <w:sz w:val="18"/>
          <w:szCs w:val="18"/>
          <w:u w:val="single"/>
          <w:lang w:val="nl-BE"/>
        </w:rPr>
      </w:pPr>
    </w:p>
    <w:p w14:paraId="0A1A01C5" w14:textId="77777777" w:rsidR="0063321D" w:rsidRPr="003B1CAC" w:rsidRDefault="0063321D" w:rsidP="002B30E8">
      <w:pPr>
        <w:tabs>
          <w:tab w:val="left" w:pos="480"/>
        </w:tabs>
        <w:rPr>
          <w:rFonts w:ascii="Verdana" w:hAnsi="Verdana" w:cs="Arial"/>
          <w:b/>
          <w:sz w:val="18"/>
          <w:szCs w:val="18"/>
          <w:lang w:val="en-GB"/>
        </w:rPr>
      </w:pPr>
      <w:proofErr w:type="spellStart"/>
      <w:r w:rsidRPr="003B1CAC">
        <w:rPr>
          <w:rFonts w:ascii="Verdana" w:hAnsi="Verdana" w:cs="Arial"/>
          <w:b/>
          <w:sz w:val="18"/>
          <w:szCs w:val="18"/>
          <w:lang w:val="en-GB"/>
        </w:rPr>
        <w:t>Afkortingen</w:t>
      </w:r>
      <w:proofErr w:type="spellEnd"/>
    </w:p>
    <w:p w14:paraId="1CC9A3C4" w14:textId="456E2816" w:rsidR="0063321D" w:rsidRPr="003B1CAC" w:rsidRDefault="0063321D" w:rsidP="002B30E8">
      <w:pPr>
        <w:tabs>
          <w:tab w:val="left" w:pos="480"/>
          <w:tab w:val="left" w:pos="851"/>
        </w:tabs>
        <w:rPr>
          <w:rFonts w:ascii="Verdana" w:hAnsi="Verdana" w:cs="Arial"/>
          <w:sz w:val="18"/>
          <w:szCs w:val="18"/>
          <w:lang w:val="en-GB"/>
        </w:rPr>
      </w:pPr>
      <w:proofErr w:type="spellStart"/>
      <w:r w:rsidRPr="003B1CAC">
        <w:rPr>
          <w:rFonts w:ascii="Verdana" w:hAnsi="Verdana" w:cs="Arial"/>
          <w:sz w:val="18"/>
          <w:szCs w:val="18"/>
          <w:lang w:val="en-GB"/>
        </w:rPr>
        <w:t>CMDh</w:t>
      </w:r>
      <w:proofErr w:type="spellEnd"/>
      <w:r w:rsidR="00C723E3" w:rsidRPr="003B1CAC">
        <w:rPr>
          <w:rFonts w:ascii="Verdana" w:hAnsi="Verdana" w:cs="Arial"/>
          <w:sz w:val="18"/>
          <w:szCs w:val="18"/>
          <w:lang w:val="en-GB"/>
        </w:rPr>
        <w:t>:</w:t>
      </w:r>
      <w:r w:rsidRPr="003B1CAC">
        <w:rPr>
          <w:rFonts w:ascii="Verdana" w:hAnsi="Verdana" w:cs="Arial"/>
          <w:sz w:val="18"/>
          <w:szCs w:val="18"/>
          <w:lang w:val="en-GB"/>
        </w:rPr>
        <w:tab/>
        <w:t>Coordination Group for Mutual Recognition and Decentrali</w:t>
      </w:r>
      <w:r w:rsidR="00C723E3" w:rsidRPr="003B1CAC">
        <w:rPr>
          <w:rFonts w:ascii="Verdana" w:hAnsi="Verdana" w:cs="Arial"/>
          <w:sz w:val="18"/>
          <w:szCs w:val="18"/>
          <w:lang w:val="en-GB"/>
        </w:rPr>
        <w:t>s</w:t>
      </w:r>
      <w:r w:rsidRPr="003B1CAC">
        <w:rPr>
          <w:rFonts w:ascii="Verdana" w:hAnsi="Verdana" w:cs="Arial"/>
          <w:sz w:val="18"/>
          <w:szCs w:val="18"/>
          <w:lang w:val="en-GB"/>
        </w:rPr>
        <w:t>ed Procedures - Human</w:t>
      </w:r>
    </w:p>
    <w:p w14:paraId="7E9C646D" w14:textId="77777777" w:rsidR="008D0AE6" w:rsidRPr="003B1CAC" w:rsidRDefault="008D0AE6" w:rsidP="002B30E8">
      <w:pPr>
        <w:tabs>
          <w:tab w:val="left" w:pos="480"/>
          <w:tab w:val="left" w:pos="851"/>
        </w:tabs>
        <w:rPr>
          <w:rFonts w:ascii="Verdana" w:hAnsi="Verdana" w:cs="Arial"/>
          <w:sz w:val="18"/>
          <w:szCs w:val="18"/>
          <w:lang w:val="en-GB"/>
        </w:rPr>
      </w:pPr>
      <w:r w:rsidRPr="003B1CAC">
        <w:rPr>
          <w:rFonts w:ascii="Verdana" w:hAnsi="Verdana" w:cs="Arial"/>
          <w:sz w:val="18"/>
          <w:szCs w:val="18"/>
          <w:lang w:val="en-GB"/>
        </w:rPr>
        <w:t>DCP:</w:t>
      </w:r>
      <w:r w:rsidRPr="003B1CAC">
        <w:rPr>
          <w:rFonts w:ascii="Verdana" w:hAnsi="Verdana" w:cs="Arial"/>
          <w:sz w:val="18"/>
          <w:szCs w:val="18"/>
          <w:lang w:val="en-GB"/>
        </w:rPr>
        <w:tab/>
      </w:r>
      <w:r w:rsidRPr="003B1CAC">
        <w:rPr>
          <w:rFonts w:ascii="Verdana" w:hAnsi="Verdana" w:cs="Arial"/>
          <w:sz w:val="18"/>
          <w:szCs w:val="18"/>
          <w:lang w:val="en-GB"/>
        </w:rPr>
        <w:tab/>
        <w:t>Decentralised Procedure</w:t>
      </w:r>
    </w:p>
    <w:p w14:paraId="50C59BB6" w14:textId="77777777" w:rsidR="008D0AE6" w:rsidRPr="003B1CAC" w:rsidRDefault="008D0AE6" w:rsidP="002B30E8">
      <w:pPr>
        <w:tabs>
          <w:tab w:val="left" w:pos="480"/>
          <w:tab w:val="left" w:pos="851"/>
        </w:tabs>
        <w:rPr>
          <w:rFonts w:ascii="Verdana" w:hAnsi="Verdana" w:cs="Arial"/>
          <w:sz w:val="18"/>
          <w:szCs w:val="18"/>
          <w:lang w:val="en-GB"/>
        </w:rPr>
      </w:pPr>
      <w:r w:rsidRPr="003B1CAC">
        <w:rPr>
          <w:rFonts w:ascii="Verdana" w:hAnsi="Verdana" w:cs="Arial"/>
          <w:sz w:val="18"/>
          <w:szCs w:val="18"/>
          <w:lang w:val="en-GB"/>
        </w:rPr>
        <w:t>MRP:</w:t>
      </w:r>
      <w:r w:rsidRPr="003B1CAC">
        <w:rPr>
          <w:rFonts w:ascii="Verdana" w:hAnsi="Verdana" w:cs="Arial"/>
          <w:sz w:val="18"/>
          <w:szCs w:val="18"/>
          <w:lang w:val="en-GB"/>
        </w:rPr>
        <w:tab/>
      </w:r>
      <w:r w:rsidRPr="003B1CAC">
        <w:rPr>
          <w:rFonts w:ascii="Verdana" w:hAnsi="Verdana" w:cs="Arial"/>
          <w:sz w:val="18"/>
          <w:szCs w:val="18"/>
          <w:lang w:val="en-GB"/>
        </w:rPr>
        <w:tab/>
        <w:t>Mutual Recognition Procedure</w:t>
      </w:r>
    </w:p>
    <w:p w14:paraId="47F38788" w14:textId="389841EB" w:rsidR="0063321D" w:rsidRPr="003B1CAC" w:rsidRDefault="0063321D" w:rsidP="002B30E8">
      <w:pPr>
        <w:tabs>
          <w:tab w:val="left" w:pos="480"/>
          <w:tab w:val="left" w:pos="851"/>
        </w:tabs>
        <w:rPr>
          <w:rFonts w:ascii="Verdana" w:hAnsi="Verdana" w:cs="Arial"/>
          <w:sz w:val="18"/>
          <w:szCs w:val="18"/>
          <w:lang w:val="en-GB"/>
        </w:rPr>
      </w:pPr>
      <w:proofErr w:type="spellStart"/>
      <w:r w:rsidRPr="003B1CAC">
        <w:rPr>
          <w:rFonts w:ascii="Verdana" w:hAnsi="Verdana" w:cs="Arial"/>
          <w:sz w:val="18"/>
          <w:szCs w:val="18"/>
          <w:lang w:val="en-GB"/>
        </w:rPr>
        <w:t>PhVWP</w:t>
      </w:r>
      <w:proofErr w:type="spellEnd"/>
      <w:r w:rsidRPr="003B1CAC">
        <w:rPr>
          <w:rFonts w:ascii="Verdana" w:hAnsi="Verdana" w:cs="Arial"/>
          <w:sz w:val="18"/>
          <w:szCs w:val="18"/>
          <w:lang w:val="en-GB"/>
        </w:rPr>
        <w:t>:</w:t>
      </w:r>
      <w:r w:rsidR="00C723E3" w:rsidRPr="003B1CAC">
        <w:rPr>
          <w:rFonts w:ascii="Verdana" w:hAnsi="Verdana" w:cs="Arial"/>
          <w:sz w:val="18"/>
          <w:szCs w:val="18"/>
          <w:lang w:val="en-GB"/>
        </w:rPr>
        <w:tab/>
      </w:r>
      <w:r w:rsidRPr="003B1CAC">
        <w:rPr>
          <w:rFonts w:ascii="Verdana" w:hAnsi="Verdana" w:cs="Arial"/>
          <w:sz w:val="18"/>
          <w:szCs w:val="18"/>
          <w:lang w:val="en-GB"/>
        </w:rPr>
        <w:t>Pharmacovigilance Working Party</w:t>
      </w:r>
    </w:p>
    <w:p w14:paraId="64A35441" w14:textId="0C365D35" w:rsidR="0063321D" w:rsidRPr="003B1CAC" w:rsidRDefault="0063321D" w:rsidP="002B30E8">
      <w:pPr>
        <w:tabs>
          <w:tab w:val="left" w:pos="480"/>
          <w:tab w:val="left" w:pos="851"/>
        </w:tabs>
        <w:rPr>
          <w:rFonts w:ascii="Verdana" w:hAnsi="Verdana" w:cs="Arial"/>
          <w:sz w:val="18"/>
          <w:szCs w:val="18"/>
          <w:lang w:val="en-GB"/>
        </w:rPr>
      </w:pPr>
      <w:r w:rsidRPr="003B1CAC">
        <w:rPr>
          <w:rFonts w:ascii="Verdana" w:hAnsi="Verdana" w:cs="Arial"/>
          <w:sz w:val="18"/>
          <w:szCs w:val="18"/>
          <w:lang w:val="en-GB"/>
        </w:rPr>
        <w:t>PRAC:</w:t>
      </w:r>
      <w:r w:rsidR="00C723E3" w:rsidRPr="003B1CAC">
        <w:rPr>
          <w:rFonts w:ascii="Verdana" w:hAnsi="Verdana" w:cs="Arial"/>
          <w:sz w:val="18"/>
          <w:szCs w:val="18"/>
          <w:lang w:val="en-GB"/>
        </w:rPr>
        <w:tab/>
      </w:r>
      <w:r w:rsidRPr="003B1CAC">
        <w:rPr>
          <w:rFonts w:ascii="Verdana" w:hAnsi="Verdana" w:cs="Arial"/>
          <w:sz w:val="18"/>
          <w:szCs w:val="18"/>
          <w:lang w:val="en-GB"/>
        </w:rPr>
        <w:t>Pharmacovigilance Risk Assessment Committee</w:t>
      </w:r>
    </w:p>
    <w:p w14:paraId="68E4385F" w14:textId="4BA5723B" w:rsidR="0063321D" w:rsidRPr="003B1CAC" w:rsidRDefault="0063321D" w:rsidP="002B30E8">
      <w:pPr>
        <w:tabs>
          <w:tab w:val="left" w:pos="851"/>
          <w:tab w:val="left" w:pos="1276"/>
        </w:tabs>
        <w:rPr>
          <w:rFonts w:ascii="Verdana" w:hAnsi="Verdana" w:cs="Arial"/>
          <w:sz w:val="18"/>
          <w:szCs w:val="18"/>
          <w:lang w:val="nl-BE"/>
        </w:rPr>
      </w:pPr>
      <w:r w:rsidRPr="003B1CAC">
        <w:rPr>
          <w:rFonts w:ascii="Verdana" w:hAnsi="Verdana" w:cs="Arial"/>
          <w:sz w:val="18"/>
          <w:szCs w:val="18"/>
          <w:lang w:val="nl-BE"/>
        </w:rPr>
        <w:t>SKP:</w:t>
      </w:r>
      <w:r w:rsidR="00C723E3" w:rsidRPr="003B1CAC">
        <w:rPr>
          <w:rFonts w:ascii="Verdana" w:hAnsi="Verdana" w:cs="Arial"/>
          <w:sz w:val="18"/>
          <w:szCs w:val="18"/>
          <w:lang w:val="nl-BE"/>
        </w:rPr>
        <w:tab/>
      </w:r>
      <w:r w:rsidRPr="003B1CAC">
        <w:rPr>
          <w:rFonts w:ascii="Verdana" w:hAnsi="Verdana" w:cs="Arial"/>
          <w:sz w:val="18"/>
          <w:szCs w:val="18"/>
          <w:lang w:val="nl-BE"/>
        </w:rPr>
        <w:t>Samenvatting van de kenmerken van het product</w:t>
      </w:r>
    </w:p>
    <w:p w14:paraId="165390E5" w14:textId="77777777" w:rsidR="0063321D" w:rsidRPr="003B1CAC" w:rsidRDefault="0063321D" w:rsidP="002B30E8">
      <w:pPr>
        <w:tabs>
          <w:tab w:val="left" w:pos="480"/>
        </w:tabs>
        <w:rPr>
          <w:rFonts w:ascii="Verdana" w:hAnsi="Verdana" w:cs="Arial"/>
          <w:sz w:val="18"/>
          <w:szCs w:val="18"/>
          <w:lang w:val="nl-BE"/>
        </w:rPr>
      </w:pPr>
    </w:p>
    <w:p w14:paraId="1EEA68C0" w14:textId="77777777" w:rsidR="0039595F" w:rsidRPr="003B1CAC" w:rsidRDefault="0039595F" w:rsidP="002B30E8">
      <w:pPr>
        <w:tabs>
          <w:tab w:val="left" w:pos="480"/>
        </w:tabs>
        <w:rPr>
          <w:rFonts w:ascii="Verdana" w:hAnsi="Verdana" w:cs="Arial"/>
          <w:sz w:val="18"/>
          <w:szCs w:val="18"/>
          <w:lang w:val="nl-BE"/>
        </w:rPr>
      </w:pPr>
    </w:p>
    <w:p w14:paraId="109F20D6" w14:textId="77777777" w:rsidR="000A7726" w:rsidRPr="003B1CAC" w:rsidRDefault="002A434A" w:rsidP="002B30E8">
      <w:pPr>
        <w:tabs>
          <w:tab w:val="left" w:pos="480"/>
        </w:tabs>
        <w:rPr>
          <w:rFonts w:ascii="Verdana" w:hAnsi="Verdana" w:cs="Arial"/>
          <w:b/>
          <w:sz w:val="18"/>
          <w:szCs w:val="18"/>
          <w:lang w:val="nl-BE"/>
        </w:rPr>
      </w:pPr>
      <w:r w:rsidRPr="003B1CAC">
        <w:rPr>
          <w:rFonts w:ascii="Verdana" w:hAnsi="Verdana" w:cs="Arial"/>
          <w:b/>
          <w:sz w:val="18"/>
          <w:szCs w:val="18"/>
          <w:lang w:val="nl-BE"/>
        </w:rPr>
        <w:t>Context</w:t>
      </w:r>
    </w:p>
    <w:p w14:paraId="08F5B233" w14:textId="202DB9D9" w:rsidR="00A3326C" w:rsidRPr="003B1CAC" w:rsidRDefault="00DE5214" w:rsidP="002B30E8">
      <w:pPr>
        <w:numPr>
          <w:ilvl w:val="0"/>
          <w:numId w:val="13"/>
        </w:numPr>
        <w:tabs>
          <w:tab w:val="clear" w:pos="360"/>
          <w:tab w:val="num" w:pos="284"/>
          <w:tab w:val="left" w:pos="480"/>
        </w:tabs>
        <w:ind w:left="284" w:hanging="284"/>
        <w:rPr>
          <w:rFonts w:ascii="Verdana" w:hAnsi="Verdana" w:cs="Arial"/>
          <w:sz w:val="18"/>
          <w:szCs w:val="18"/>
          <w:lang w:val="nl-BE"/>
        </w:rPr>
      </w:pPr>
      <w:r w:rsidRPr="003B1CAC">
        <w:rPr>
          <w:rFonts w:ascii="Verdana" w:hAnsi="Verdana" w:cs="Arial"/>
          <w:sz w:val="18"/>
          <w:szCs w:val="18"/>
          <w:lang w:val="nl-BE"/>
        </w:rPr>
        <w:t>Deze</w:t>
      </w:r>
      <w:r w:rsidR="00A3326C" w:rsidRPr="003B1CAC">
        <w:rPr>
          <w:rFonts w:ascii="Verdana" w:hAnsi="Verdana" w:cs="Arial"/>
          <w:sz w:val="18"/>
          <w:szCs w:val="18"/>
          <w:lang w:val="nl-BE"/>
        </w:rPr>
        <w:t xml:space="preserve"> </w:t>
      </w:r>
      <w:r w:rsidRPr="003B1CAC">
        <w:rPr>
          <w:rFonts w:ascii="Verdana" w:hAnsi="Verdana" w:cs="Arial"/>
          <w:sz w:val="18"/>
          <w:szCs w:val="18"/>
          <w:lang w:val="nl-BE"/>
        </w:rPr>
        <w:t>richtlijnen</w:t>
      </w:r>
      <w:r w:rsidR="00A3326C" w:rsidRPr="003B1CAC">
        <w:rPr>
          <w:rFonts w:ascii="Verdana" w:hAnsi="Verdana" w:cs="Arial"/>
          <w:sz w:val="18"/>
          <w:szCs w:val="18"/>
          <w:lang w:val="nl-BE"/>
        </w:rPr>
        <w:t xml:space="preserve"> voor paracetamol</w:t>
      </w:r>
      <w:r w:rsidR="006A35EE" w:rsidRPr="003B1CAC">
        <w:rPr>
          <w:rFonts w:ascii="Verdana" w:hAnsi="Verdana" w:cs="Arial"/>
          <w:sz w:val="18"/>
          <w:szCs w:val="18"/>
          <w:lang w:val="nl-BE"/>
        </w:rPr>
        <w:t xml:space="preserve"> </w:t>
      </w:r>
      <w:r w:rsidR="00D13B07" w:rsidRPr="003B1CAC">
        <w:rPr>
          <w:rFonts w:ascii="Verdana" w:hAnsi="Verdana" w:cs="Arial"/>
          <w:sz w:val="18"/>
          <w:szCs w:val="18"/>
          <w:lang w:val="nl-BE"/>
        </w:rPr>
        <w:t>zijn</w:t>
      </w:r>
      <w:r w:rsidR="002B03E8" w:rsidRPr="003B1CAC">
        <w:rPr>
          <w:rFonts w:ascii="Verdana" w:hAnsi="Verdana" w:cs="Arial"/>
          <w:sz w:val="18"/>
          <w:szCs w:val="18"/>
          <w:lang w:val="nl-BE"/>
        </w:rPr>
        <w:t xml:space="preserve"> opgesteld op basis </w:t>
      </w:r>
      <w:r w:rsidR="0099009F" w:rsidRPr="003B1CAC">
        <w:rPr>
          <w:rFonts w:ascii="Verdana" w:hAnsi="Verdana" w:cs="Arial"/>
          <w:sz w:val="18"/>
          <w:szCs w:val="18"/>
          <w:lang w:val="nl-BE"/>
        </w:rPr>
        <w:t xml:space="preserve">van </w:t>
      </w:r>
      <w:r w:rsidR="00D13B07" w:rsidRPr="003B1CAC">
        <w:rPr>
          <w:rFonts w:ascii="Verdana" w:hAnsi="Verdana" w:cs="Arial"/>
          <w:sz w:val="18"/>
          <w:szCs w:val="18"/>
          <w:lang w:val="nl-BE"/>
        </w:rPr>
        <w:t xml:space="preserve">de </w:t>
      </w:r>
      <w:r w:rsidR="002B03E8" w:rsidRPr="003B1CAC">
        <w:rPr>
          <w:rFonts w:ascii="Verdana" w:hAnsi="Verdana" w:cs="Arial"/>
          <w:sz w:val="18"/>
          <w:szCs w:val="18"/>
          <w:lang w:val="nl-BE"/>
        </w:rPr>
        <w:t xml:space="preserve">beschikbare wetenschappelijke literatuur, </w:t>
      </w:r>
      <w:r w:rsidR="00050026" w:rsidRPr="003B1CAC">
        <w:rPr>
          <w:rFonts w:ascii="Verdana" w:hAnsi="Verdana" w:cs="Arial"/>
          <w:sz w:val="18"/>
          <w:szCs w:val="18"/>
          <w:lang w:val="nl-BE"/>
        </w:rPr>
        <w:t xml:space="preserve">Europese aanbevelingen </w:t>
      </w:r>
      <w:r w:rsidR="00D13B07" w:rsidRPr="003B1CAC">
        <w:rPr>
          <w:rFonts w:ascii="Verdana" w:hAnsi="Verdana" w:cs="Arial"/>
          <w:sz w:val="18"/>
          <w:szCs w:val="18"/>
          <w:lang w:val="nl-BE"/>
        </w:rPr>
        <w:t xml:space="preserve">en </w:t>
      </w:r>
      <w:r w:rsidR="002B03E8" w:rsidRPr="003B1CAC">
        <w:rPr>
          <w:rFonts w:ascii="Verdana" w:hAnsi="Verdana" w:cs="Arial"/>
          <w:sz w:val="18"/>
          <w:szCs w:val="18"/>
          <w:lang w:val="nl-BE"/>
        </w:rPr>
        <w:t xml:space="preserve">Europese vergunningaanvragen </w:t>
      </w:r>
      <w:r w:rsidR="0099009F" w:rsidRPr="003B1CAC">
        <w:rPr>
          <w:rFonts w:ascii="Verdana" w:hAnsi="Verdana" w:cs="Arial"/>
          <w:sz w:val="18"/>
          <w:szCs w:val="18"/>
          <w:lang w:val="nl-BE"/>
        </w:rPr>
        <w:t>voor paracetamol</w:t>
      </w:r>
      <w:r w:rsidR="00FF5C11" w:rsidRPr="003B1CAC">
        <w:rPr>
          <w:rFonts w:ascii="Verdana" w:hAnsi="Verdana" w:cs="Arial"/>
          <w:sz w:val="18"/>
          <w:szCs w:val="18"/>
          <w:lang w:val="nl-BE"/>
        </w:rPr>
        <w:t xml:space="preserve">. Dit document </w:t>
      </w:r>
      <w:r w:rsidR="00D13B07" w:rsidRPr="003B1CAC">
        <w:rPr>
          <w:rFonts w:ascii="Verdana" w:hAnsi="Verdana" w:cs="Arial"/>
          <w:sz w:val="18"/>
          <w:szCs w:val="18"/>
          <w:lang w:val="nl-BE"/>
        </w:rPr>
        <w:t xml:space="preserve">moet </w:t>
      </w:r>
      <w:r w:rsidR="009D7117" w:rsidRPr="003B1CAC">
        <w:rPr>
          <w:rFonts w:ascii="Verdana" w:hAnsi="Verdana" w:cs="Arial"/>
          <w:sz w:val="18"/>
          <w:szCs w:val="18"/>
          <w:lang w:val="nl-BE"/>
        </w:rPr>
        <w:t xml:space="preserve">als referentie </w:t>
      </w:r>
      <w:r w:rsidR="00D13B07" w:rsidRPr="003B1CAC">
        <w:rPr>
          <w:rFonts w:ascii="Verdana" w:hAnsi="Verdana" w:cs="Arial"/>
          <w:sz w:val="18"/>
          <w:szCs w:val="18"/>
          <w:lang w:val="nl-BE"/>
        </w:rPr>
        <w:t xml:space="preserve">worden </w:t>
      </w:r>
      <w:r w:rsidR="009D7117" w:rsidRPr="003B1CAC">
        <w:rPr>
          <w:rFonts w:ascii="Verdana" w:hAnsi="Verdana" w:cs="Arial"/>
          <w:sz w:val="18"/>
          <w:szCs w:val="18"/>
          <w:lang w:val="nl-BE"/>
        </w:rPr>
        <w:t xml:space="preserve">gebruikt bij nazicht van </w:t>
      </w:r>
      <w:r w:rsidR="00073CBB" w:rsidRPr="003B1CAC">
        <w:rPr>
          <w:rFonts w:ascii="Verdana" w:hAnsi="Verdana" w:cs="Arial"/>
          <w:sz w:val="18"/>
          <w:szCs w:val="18"/>
          <w:lang w:val="nl-BE"/>
        </w:rPr>
        <w:t xml:space="preserve">de </w:t>
      </w:r>
      <w:r w:rsidR="0064515D">
        <w:rPr>
          <w:rFonts w:ascii="Verdana" w:hAnsi="Verdana" w:cs="Arial"/>
          <w:sz w:val="18"/>
          <w:szCs w:val="18"/>
          <w:lang w:val="nl-BE"/>
        </w:rPr>
        <w:t>samenvatting van de kenmerken van het product (SKP)</w:t>
      </w:r>
      <w:r w:rsidR="00073CBB" w:rsidRPr="003B1CAC">
        <w:rPr>
          <w:rFonts w:ascii="Verdana" w:hAnsi="Verdana" w:cs="Arial"/>
          <w:sz w:val="18"/>
          <w:szCs w:val="18"/>
          <w:lang w:val="nl-BE"/>
        </w:rPr>
        <w:t xml:space="preserve"> van geneesmiddelen</w:t>
      </w:r>
      <w:r w:rsidR="009D7117" w:rsidRPr="003B1CAC">
        <w:rPr>
          <w:rFonts w:ascii="Verdana" w:hAnsi="Verdana" w:cs="Arial"/>
          <w:sz w:val="18"/>
          <w:szCs w:val="18"/>
          <w:lang w:val="nl-BE"/>
        </w:rPr>
        <w:t xml:space="preserve"> op basis van paracetamol, voor oraal </w:t>
      </w:r>
      <w:r w:rsidR="00D13B07" w:rsidRPr="003B1CAC">
        <w:rPr>
          <w:rFonts w:ascii="Verdana" w:hAnsi="Verdana" w:cs="Arial"/>
          <w:sz w:val="18"/>
          <w:szCs w:val="18"/>
          <w:lang w:val="nl-BE"/>
        </w:rPr>
        <w:t xml:space="preserve">en </w:t>
      </w:r>
      <w:r w:rsidR="009D7117" w:rsidRPr="003B1CAC">
        <w:rPr>
          <w:rFonts w:ascii="Verdana" w:hAnsi="Verdana" w:cs="Arial"/>
          <w:sz w:val="18"/>
          <w:szCs w:val="18"/>
          <w:lang w:val="nl-BE"/>
        </w:rPr>
        <w:t>rectaal gebruik</w:t>
      </w:r>
      <w:r w:rsidR="00073CBB" w:rsidRPr="003B1CAC">
        <w:rPr>
          <w:rFonts w:ascii="Verdana" w:hAnsi="Verdana" w:cs="Arial"/>
          <w:sz w:val="18"/>
          <w:szCs w:val="18"/>
          <w:lang w:val="nl-BE"/>
        </w:rPr>
        <w:t>.</w:t>
      </w:r>
    </w:p>
    <w:p w14:paraId="54C1F63D" w14:textId="4521371F" w:rsidR="0099009F" w:rsidRPr="003B1CAC" w:rsidRDefault="00B4052A" w:rsidP="002B30E8">
      <w:pPr>
        <w:numPr>
          <w:ilvl w:val="0"/>
          <w:numId w:val="13"/>
        </w:numPr>
        <w:tabs>
          <w:tab w:val="clear" w:pos="360"/>
          <w:tab w:val="num" w:pos="284"/>
          <w:tab w:val="left" w:pos="480"/>
        </w:tabs>
        <w:ind w:left="284" w:hanging="284"/>
        <w:rPr>
          <w:rFonts w:ascii="Verdana" w:hAnsi="Verdana" w:cs="Arial"/>
          <w:sz w:val="18"/>
          <w:szCs w:val="18"/>
          <w:lang w:val="nl-BE"/>
        </w:rPr>
      </w:pPr>
      <w:r w:rsidRPr="003B1CAC">
        <w:rPr>
          <w:rFonts w:ascii="Verdana" w:hAnsi="Verdana" w:cs="Arial"/>
          <w:sz w:val="18"/>
          <w:szCs w:val="18"/>
          <w:lang w:val="nl-BE"/>
        </w:rPr>
        <w:t>De v</w:t>
      </w:r>
      <w:r w:rsidR="0099009F" w:rsidRPr="003B1CAC">
        <w:rPr>
          <w:rFonts w:ascii="Verdana" w:hAnsi="Verdana" w:cs="Arial"/>
          <w:sz w:val="18"/>
          <w:szCs w:val="18"/>
          <w:lang w:val="nl-BE"/>
        </w:rPr>
        <w:t xml:space="preserve">ergunninghouders worden eraan herinnerd dat de </w:t>
      </w:r>
      <w:r w:rsidR="0064515D">
        <w:rPr>
          <w:rFonts w:ascii="Verdana" w:hAnsi="Verdana" w:cs="Arial"/>
          <w:sz w:val="18"/>
          <w:szCs w:val="18"/>
          <w:lang w:val="nl-BE"/>
        </w:rPr>
        <w:t>SKP en de bijsluiter voor het publiek</w:t>
      </w:r>
      <w:r w:rsidR="0099009F" w:rsidRPr="003B1CAC">
        <w:rPr>
          <w:rFonts w:ascii="Verdana" w:hAnsi="Verdana" w:cs="Arial"/>
          <w:sz w:val="18"/>
          <w:szCs w:val="18"/>
          <w:lang w:val="nl-BE"/>
        </w:rPr>
        <w:t xml:space="preserve"> </w:t>
      </w:r>
      <w:r w:rsidRPr="003B1CAC">
        <w:rPr>
          <w:rFonts w:ascii="Verdana" w:hAnsi="Verdana" w:cs="Arial"/>
          <w:sz w:val="18"/>
          <w:szCs w:val="18"/>
          <w:lang w:val="nl-BE"/>
        </w:rPr>
        <w:t>moet</w:t>
      </w:r>
      <w:r w:rsidR="0064515D">
        <w:rPr>
          <w:rFonts w:ascii="Verdana" w:hAnsi="Verdana" w:cs="Arial"/>
          <w:sz w:val="18"/>
          <w:szCs w:val="18"/>
          <w:lang w:val="nl-BE"/>
        </w:rPr>
        <w:t>en</w:t>
      </w:r>
      <w:r w:rsidRPr="003B1CAC">
        <w:rPr>
          <w:rFonts w:ascii="Verdana" w:hAnsi="Verdana" w:cs="Arial"/>
          <w:sz w:val="18"/>
          <w:szCs w:val="18"/>
          <w:lang w:val="nl-BE"/>
        </w:rPr>
        <w:t xml:space="preserve"> worden</w:t>
      </w:r>
      <w:r w:rsidR="0099009F" w:rsidRPr="003B1CAC">
        <w:rPr>
          <w:rFonts w:ascii="Verdana" w:hAnsi="Verdana" w:cs="Arial"/>
          <w:sz w:val="18"/>
          <w:szCs w:val="18"/>
          <w:lang w:val="nl-BE"/>
        </w:rPr>
        <w:t xml:space="preserve"> aangepast aan de actuele wetenschappelijke kennis, met inbegrip van de conclusies van beoordelingen en aanbevelingen, gepubliceerd op het Europese </w:t>
      </w:r>
      <w:proofErr w:type="spellStart"/>
      <w:r w:rsidR="0099009F" w:rsidRPr="003B1CAC">
        <w:rPr>
          <w:rFonts w:ascii="Verdana" w:hAnsi="Verdana" w:cs="Arial"/>
          <w:sz w:val="18"/>
          <w:szCs w:val="18"/>
          <w:lang w:val="nl-BE"/>
        </w:rPr>
        <w:t>webportaal</w:t>
      </w:r>
      <w:proofErr w:type="spellEnd"/>
      <w:r w:rsidR="0099009F" w:rsidRPr="003B1CAC">
        <w:rPr>
          <w:rFonts w:ascii="Verdana" w:hAnsi="Verdana" w:cs="Arial"/>
          <w:sz w:val="18"/>
          <w:szCs w:val="18"/>
          <w:lang w:val="nl-BE"/>
        </w:rPr>
        <w:t xml:space="preserve"> (</w:t>
      </w:r>
      <w:hyperlink r:id="rId8" w:history="1">
        <w:r w:rsidR="0099009F" w:rsidRPr="003B1CAC">
          <w:rPr>
            <w:rStyle w:val="Lienhypertexte"/>
            <w:rFonts w:ascii="Verdana" w:hAnsi="Verdana"/>
            <w:sz w:val="18"/>
            <w:szCs w:val="18"/>
          </w:rPr>
          <w:t xml:space="preserve">Wet van 25 maart 1964 op de geneesmiddelen, artikel 6 § 1 </w:t>
        </w:r>
        <w:proofErr w:type="spellStart"/>
        <w:r w:rsidR="0099009F" w:rsidRPr="003B1CAC">
          <w:rPr>
            <w:rStyle w:val="Lienhypertexte"/>
            <w:rFonts w:ascii="Verdana" w:hAnsi="Verdana"/>
            <w:sz w:val="18"/>
            <w:szCs w:val="18"/>
          </w:rPr>
          <w:t>quater</w:t>
        </w:r>
        <w:proofErr w:type="spellEnd"/>
      </w:hyperlink>
      <w:r w:rsidR="0099009F" w:rsidRPr="003B1CAC">
        <w:rPr>
          <w:rFonts w:ascii="Verdana" w:hAnsi="Verdana" w:cs="Arial"/>
          <w:sz w:val="18"/>
          <w:szCs w:val="18"/>
          <w:lang w:val="nl-BE"/>
        </w:rPr>
        <w:t>).</w:t>
      </w:r>
    </w:p>
    <w:p w14:paraId="30106657" w14:textId="766844B3" w:rsidR="00AA52B3" w:rsidRPr="003B1CAC" w:rsidRDefault="00AA52B3" w:rsidP="002B30E8">
      <w:pPr>
        <w:numPr>
          <w:ilvl w:val="0"/>
          <w:numId w:val="13"/>
        </w:numPr>
        <w:tabs>
          <w:tab w:val="clear" w:pos="360"/>
          <w:tab w:val="num" w:pos="284"/>
          <w:tab w:val="left" w:pos="480"/>
        </w:tabs>
        <w:ind w:left="284" w:hanging="284"/>
        <w:rPr>
          <w:rFonts w:ascii="Verdana" w:hAnsi="Verdana" w:cs="Arial"/>
          <w:sz w:val="18"/>
          <w:szCs w:val="18"/>
          <w:lang w:val="nl-BE"/>
        </w:rPr>
      </w:pPr>
      <w:r w:rsidRPr="003B1CAC">
        <w:rPr>
          <w:rFonts w:ascii="Verdana" w:hAnsi="Verdana" w:cs="Arial"/>
          <w:sz w:val="18"/>
          <w:szCs w:val="18"/>
          <w:lang w:val="nl-BE"/>
        </w:rPr>
        <w:t xml:space="preserve">De veiligheidsinformatie, vermeld in rubriek 4.2 tot 4.9 van deze </w:t>
      </w:r>
      <w:r w:rsidR="00E862CE" w:rsidRPr="003B1CAC">
        <w:rPr>
          <w:rFonts w:ascii="Verdana" w:hAnsi="Verdana" w:cs="Arial"/>
          <w:sz w:val="18"/>
          <w:szCs w:val="18"/>
          <w:lang w:val="nl-BE"/>
        </w:rPr>
        <w:t>richtlijnen</w:t>
      </w:r>
      <w:r w:rsidRPr="003B1CAC">
        <w:rPr>
          <w:rFonts w:ascii="Verdana" w:hAnsi="Verdana" w:cs="Arial"/>
          <w:sz w:val="18"/>
          <w:szCs w:val="18"/>
          <w:lang w:val="nl-BE"/>
        </w:rPr>
        <w:t xml:space="preserve">, wordt beschouwd als een minimum en </w:t>
      </w:r>
      <w:r w:rsidR="0005362C" w:rsidRPr="003B1CAC">
        <w:rPr>
          <w:rFonts w:ascii="Verdana" w:hAnsi="Verdana" w:cs="Arial"/>
          <w:sz w:val="18"/>
          <w:szCs w:val="18"/>
          <w:lang w:val="nl-BE"/>
        </w:rPr>
        <w:t xml:space="preserve">moet worden </w:t>
      </w:r>
      <w:r w:rsidRPr="003B1CAC">
        <w:rPr>
          <w:rFonts w:ascii="Verdana" w:hAnsi="Verdana" w:cs="Arial"/>
          <w:sz w:val="18"/>
          <w:szCs w:val="18"/>
          <w:lang w:val="nl-BE"/>
        </w:rPr>
        <w:t xml:space="preserve">opgenomen in de SKP en/of bijsluiter </w:t>
      </w:r>
      <w:r w:rsidR="0005362C" w:rsidRPr="003B1CAC">
        <w:rPr>
          <w:rFonts w:ascii="Verdana" w:hAnsi="Verdana" w:cs="Arial"/>
          <w:sz w:val="18"/>
          <w:szCs w:val="18"/>
          <w:lang w:val="nl-BE"/>
        </w:rPr>
        <w:t xml:space="preserve">voor het publiek </w:t>
      </w:r>
      <w:r w:rsidRPr="003B1CAC">
        <w:rPr>
          <w:rFonts w:ascii="Verdana" w:hAnsi="Verdana" w:cs="Arial"/>
          <w:sz w:val="18"/>
          <w:szCs w:val="18"/>
          <w:lang w:val="nl-BE"/>
        </w:rPr>
        <w:t>van alle betrokken geneesmiddelen.</w:t>
      </w:r>
    </w:p>
    <w:p w14:paraId="0032EBD4" w14:textId="77777777" w:rsidR="00A9053A" w:rsidRPr="003B1CAC" w:rsidRDefault="000508EC" w:rsidP="002B30E8">
      <w:pPr>
        <w:numPr>
          <w:ilvl w:val="0"/>
          <w:numId w:val="13"/>
        </w:numPr>
        <w:tabs>
          <w:tab w:val="clear" w:pos="360"/>
          <w:tab w:val="num" w:pos="284"/>
          <w:tab w:val="left" w:pos="480"/>
        </w:tabs>
        <w:ind w:left="284" w:hanging="284"/>
        <w:rPr>
          <w:rFonts w:ascii="Verdana" w:hAnsi="Verdana" w:cs="Arial"/>
          <w:sz w:val="18"/>
          <w:szCs w:val="18"/>
          <w:lang w:val="nl-BE"/>
        </w:rPr>
      </w:pPr>
      <w:r w:rsidRPr="003B1CAC">
        <w:rPr>
          <w:rFonts w:ascii="Verdana" w:hAnsi="Verdana" w:cs="Arial"/>
          <w:sz w:val="18"/>
          <w:szCs w:val="18"/>
          <w:lang w:val="nl-BE"/>
        </w:rPr>
        <w:t>Dit document</w:t>
      </w:r>
      <w:r w:rsidR="00073CBB" w:rsidRPr="003B1CAC">
        <w:rPr>
          <w:rFonts w:ascii="Verdana" w:hAnsi="Verdana" w:cs="Arial"/>
          <w:sz w:val="18"/>
          <w:szCs w:val="18"/>
          <w:lang w:val="nl-BE"/>
        </w:rPr>
        <w:t xml:space="preserve"> houdt rekening met </w:t>
      </w:r>
      <w:r w:rsidR="00A9053A" w:rsidRPr="003B1CAC">
        <w:rPr>
          <w:rFonts w:ascii="Verdana" w:hAnsi="Verdana" w:cs="Arial"/>
          <w:sz w:val="18"/>
          <w:szCs w:val="18"/>
          <w:lang w:val="nl-BE"/>
        </w:rPr>
        <w:t xml:space="preserve">de </w:t>
      </w:r>
      <w:r w:rsidR="002A434A" w:rsidRPr="003B1CAC">
        <w:rPr>
          <w:rFonts w:ascii="Verdana" w:hAnsi="Verdana" w:cs="Arial"/>
          <w:sz w:val="18"/>
          <w:szCs w:val="18"/>
          <w:lang w:val="nl-BE"/>
        </w:rPr>
        <w:t xml:space="preserve">volgende </w:t>
      </w:r>
      <w:r w:rsidR="00561005" w:rsidRPr="003B1CAC">
        <w:rPr>
          <w:rFonts w:ascii="Verdana" w:hAnsi="Verdana" w:cs="Arial"/>
          <w:sz w:val="18"/>
          <w:szCs w:val="18"/>
          <w:lang w:val="nl-BE"/>
        </w:rPr>
        <w:t>Europese aanbevelingen</w:t>
      </w:r>
      <w:r w:rsidR="00073CBB" w:rsidRPr="003B1CAC">
        <w:rPr>
          <w:rFonts w:ascii="Verdana" w:hAnsi="Verdana" w:cs="Arial"/>
          <w:sz w:val="18"/>
          <w:szCs w:val="18"/>
          <w:lang w:val="nl-BE"/>
        </w:rPr>
        <w:t xml:space="preserve"> over paracetamol</w:t>
      </w:r>
      <w:r w:rsidR="002A434A" w:rsidRPr="003B1CAC">
        <w:rPr>
          <w:rFonts w:ascii="Verdana" w:hAnsi="Verdana" w:cs="Arial"/>
          <w:sz w:val="18"/>
          <w:szCs w:val="18"/>
          <w:lang w:val="nl-BE"/>
        </w:rPr>
        <w:t>:</w:t>
      </w:r>
    </w:p>
    <w:p w14:paraId="3C8DDDC9" w14:textId="19208270" w:rsidR="00073CBB" w:rsidRPr="003B1CAC" w:rsidRDefault="00073CBB" w:rsidP="002B30E8">
      <w:pPr>
        <w:tabs>
          <w:tab w:val="left" w:pos="480"/>
        </w:tabs>
        <w:ind w:left="284"/>
        <w:rPr>
          <w:rFonts w:ascii="Verdana" w:hAnsi="Verdana" w:cs="Arial"/>
          <w:sz w:val="18"/>
          <w:szCs w:val="18"/>
          <w:lang w:val="nl-BE"/>
        </w:rPr>
      </w:pPr>
    </w:p>
    <w:p w14:paraId="29824396" w14:textId="2444FC15" w:rsidR="00E8741E" w:rsidRPr="003B1CAC" w:rsidRDefault="002A434A" w:rsidP="002F61A0">
      <w:pPr>
        <w:pStyle w:val="Paragraphedeliste"/>
        <w:numPr>
          <w:ilvl w:val="0"/>
          <w:numId w:val="34"/>
        </w:numPr>
        <w:tabs>
          <w:tab w:val="left" w:pos="567"/>
        </w:tabs>
        <w:ind w:left="567" w:hanging="207"/>
        <w:rPr>
          <w:rFonts w:ascii="Verdana" w:hAnsi="Verdana" w:cs="Arial"/>
          <w:sz w:val="18"/>
          <w:szCs w:val="18"/>
          <w:lang w:val="nl-BE"/>
        </w:rPr>
      </w:pPr>
      <w:r w:rsidRPr="003B1CAC">
        <w:rPr>
          <w:rFonts w:ascii="Verdana" w:hAnsi="Verdana" w:cs="Arial"/>
          <w:sz w:val="18"/>
          <w:szCs w:val="18"/>
          <w:lang w:val="nl-BE"/>
        </w:rPr>
        <w:t>D</w:t>
      </w:r>
      <w:r w:rsidR="00073CBB" w:rsidRPr="003B1CAC">
        <w:rPr>
          <w:rFonts w:ascii="Verdana" w:hAnsi="Verdana" w:cs="Arial"/>
          <w:sz w:val="18"/>
          <w:szCs w:val="18"/>
          <w:lang w:val="nl-BE"/>
        </w:rPr>
        <w:t xml:space="preserve">e aanbevelingen van de </w:t>
      </w:r>
      <w:proofErr w:type="spellStart"/>
      <w:r w:rsidR="00073CBB" w:rsidRPr="003B1CAC">
        <w:rPr>
          <w:rFonts w:ascii="Verdana" w:hAnsi="Verdana" w:cs="Arial"/>
          <w:sz w:val="18"/>
          <w:szCs w:val="18"/>
          <w:lang w:val="nl-BE"/>
        </w:rPr>
        <w:t>Ph</w:t>
      </w:r>
      <w:r w:rsidR="00653EAC" w:rsidRPr="003B1CAC">
        <w:rPr>
          <w:rFonts w:ascii="Verdana" w:hAnsi="Verdana" w:cs="Arial"/>
          <w:sz w:val="18"/>
          <w:szCs w:val="18"/>
          <w:lang w:val="nl-BE"/>
        </w:rPr>
        <w:t>VWP</w:t>
      </w:r>
      <w:proofErr w:type="spellEnd"/>
      <w:r w:rsidR="00653EAC" w:rsidRPr="003B1CAC">
        <w:rPr>
          <w:rFonts w:ascii="Verdana" w:hAnsi="Verdana" w:cs="Arial"/>
          <w:sz w:val="18"/>
          <w:szCs w:val="18"/>
          <w:lang w:val="nl-BE"/>
        </w:rPr>
        <w:t xml:space="preserve"> </w:t>
      </w:r>
      <w:r w:rsidR="00A9053A" w:rsidRPr="003B1CAC">
        <w:rPr>
          <w:rFonts w:ascii="Verdana" w:hAnsi="Verdana" w:cs="Arial"/>
          <w:sz w:val="18"/>
          <w:szCs w:val="18"/>
          <w:lang w:val="nl-BE"/>
        </w:rPr>
        <w:t xml:space="preserve">over </w:t>
      </w:r>
      <w:r w:rsidR="001A4249" w:rsidRPr="003B1CAC">
        <w:rPr>
          <w:rFonts w:ascii="Verdana" w:hAnsi="Verdana" w:cs="Arial"/>
          <w:sz w:val="18"/>
          <w:szCs w:val="18"/>
          <w:lang w:val="nl-BE"/>
        </w:rPr>
        <w:t>het gebruik van paracetamol bij ernstige lever</w:t>
      </w:r>
      <w:r w:rsidR="009D7117" w:rsidRPr="003B1CAC">
        <w:rPr>
          <w:rFonts w:ascii="Verdana" w:hAnsi="Verdana" w:cs="Arial"/>
          <w:sz w:val="18"/>
          <w:szCs w:val="18"/>
          <w:lang w:val="nl-BE"/>
        </w:rPr>
        <w:t>insufficiëntie</w:t>
      </w:r>
      <w:r w:rsidR="002F61A0" w:rsidRPr="003B1CAC">
        <w:rPr>
          <w:rFonts w:ascii="Verdana" w:hAnsi="Verdana" w:cs="Arial"/>
          <w:sz w:val="18"/>
          <w:szCs w:val="18"/>
          <w:lang w:val="nl-BE"/>
        </w:rPr>
        <w:t xml:space="preserve"> </w:t>
      </w:r>
      <w:r w:rsidR="001A4249" w:rsidRPr="003B1CAC">
        <w:rPr>
          <w:rFonts w:ascii="Verdana" w:hAnsi="Verdana" w:cs="Arial"/>
          <w:sz w:val="18"/>
          <w:szCs w:val="18"/>
          <w:lang w:val="nl-BE"/>
        </w:rPr>
        <w:t>en ernstige hemolytische anemie</w:t>
      </w:r>
      <w:r w:rsidR="002B6446" w:rsidRPr="003B1CAC">
        <w:rPr>
          <w:rFonts w:ascii="Verdana" w:hAnsi="Verdana" w:cs="Arial"/>
          <w:sz w:val="18"/>
          <w:szCs w:val="18"/>
          <w:lang w:val="nl-BE"/>
        </w:rPr>
        <w:t>/</w:t>
      </w:r>
      <w:r w:rsidR="00EB72CC" w:rsidRPr="003B1CAC">
        <w:rPr>
          <w:rFonts w:ascii="Verdana" w:hAnsi="Verdana" w:cs="Arial"/>
          <w:sz w:val="18"/>
          <w:szCs w:val="18"/>
          <w:lang w:val="nl-BE"/>
        </w:rPr>
        <w:t>G6PD</w:t>
      </w:r>
      <w:r w:rsidR="002B6446" w:rsidRPr="003B1CAC">
        <w:rPr>
          <w:rFonts w:ascii="Verdana" w:hAnsi="Verdana" w:cs="Arial"/>
          <w:sz w:val="18"/>
          <w:szCs w:val="18"/>
          <w:lang w:val="nl-BE"/>
        </w:rPr>
        <w:t xml:space="preserve"> deficiëntie</w:t>
      </w:r>
      <w:r w:rsidR="00073CBB" w:rsidRPr="003B1CAC">
        <w:rPr>
          <w:rFonts w:ascii="Verdana" w:hAnsi="Verdana" w:cs="Arial"/>
          <w:sz w:val="18"/>
          <w:szCs w:val="18"/>
          <w:lang w:val="nl-BE"/>
        </w:rPr>
        <w:t xml:space="preserve"> (Ref.: </w:t>
      </w:r>
      <w:hyperlink r:id="rId9" w:history="1">
        <w:proofErr w:type="spellStart"/>
        <w:r w:rsidR="00073CBB" w:rsidRPr="003B1CAC">
          <w:rPr>
            <w:rStyle w:val="Lienhypertexte"/>
            <w:rFonts w:ascii="Verdana" w:hAnsi="Verdana"/>
            <w:sz w:val="18"/>
            <w:szCs w:val="18"/>
          </w:rPr>
          <w:t>CMDh</w:t>
        </w:r>
        <w:proofErr w:type="spellEnd"/>
        <w:r w:rsidR="00073CBB" w:rsidRPr="003B1CAC">
          <w:rPr>
            <w:rStyle w:val="Lienhypertexte"/>
            <w:rFonts w:ascii="Verdana" w:hAnsi="Verdana"/>
            <w:sz w:val="18"/>
            <w:szCs w:val="18"/>
          </w:rPr>
          <w:t>/</w:t>
        </w:r>
        <w:proofErr w:type="spellStart"/>
        <w:r w:rsidR="00073CBB" w:rsidRPr="003B1CAC">
          <w:rPr>
            <w:rStyle w:val="Lienhypertexte"/>
            <w:rFonts w:ascii="Verdana" w:hAnsi="Verdana"/>
            <w:sz w:val="18"/>
            <w:szCs w:val="18"/>
          </w:rPr>
          <w:t>PhWP</w:t>
        </w:r>
        <w:proofErr w:type="spellEnd"/>
        <w:r w:rsidR="00073CBB" w:rsidRPr="003B1CAC">
          <w:rPr>
            <w:rStyle w:val="Lienhypertexte"/>
            <w:rFonts w:ascii="Verdana" w:hAnsi="Verdana"/>
            <w:sz w:val="18"/>
            <w:szCs w:val="18"/>
          </w:rPr>
          <w:t xml:space="preserve">/032/2011, </w:t>
        </w:r>
        <w:r w:rsidR="00EB72CC" w:rsidRPr="003B1CAC">
          <w:rPr>
            <w:rStyle w:val="Lienhypertexte"/>
            <w:rFonts w:ascii="Verdana" w:hAnsi="Verdana"/>
            <w:sz w:val="18"/>
            <w:szCs w:val="18"/>
          </w:rPr>
          <w:t>september</w:t>
        </w:r>
        <w:r w:rsidR="00073CBB" w:rsidRPr="003B1CAC">
          <w:rPr>
            <w:rStyle w:val="Lienhypertexte"/>
            <w:rFonts w:ascii="Verdana" w:hAnsi="Verdana"/>
            <w:sz w:val="18"/>
            <w:szCs w:val="18"/>
          </w:rPr>
          <w:t xml:space="preserve"> 2011</w:t>
        </w:r>
      </w:hyperlink>
      <w:r w:rsidR="00A9053A" w:rsidRPr="003B1CAC">
        <w:rPr>
          <w:rFonts w:ascii="Verdana" w:hAnsi="Verdana" w:cs="Arial"/>
          <w:sz w:val="18"/>
          <w:szCs w:val="18"/>
          <w:lang w:val="nl-BE"/>
        </w:rPr>
        <w:t>)</w:t>
      </w:r>
      <w:r w:rsidR="009A794B" w:rsidRPr="003B1CAC">
        <w:rPr>
          <w:rFonts w:ascii="Verdana" w:hAnsi="Verdana" w:cs="Arial"/>
          <w:sz w:val="18"/>
          <w:szCs w:val="18"/>
          <w:lang w:val="nl-BE"/>
        </w:rPr>
        <w:t>.</w:t>
      </w:r>
    </w:p>
    <w:p w14:paraId="022B0492" w14:textId="09F2D265" w:rsidR="00653EAC" w:rsidRPr="003B1CAC" w:rsidRDefault="00653EAC" w:rsidP="002B30E8">
      <w:pPr>
        <w:tabs>
          <w:tab w:val="num" w:pos="284"/>
          <w:tab w:val="left" w:pos="567"/>
        </w:tabs>
        <w:ind w:left="567"/>
        <w:rPr>
          <w:rFonts w:ascii="Verdana" w:hAnsi="Verdana" w:cs="Arial"/>
          <w:sz w:val="18"/>
          <w:szCs w:val="18"/>
          <w:lang w:val="nl-BE"/>
        </w:rPr>
      </w:pPr>
      <w:r w:rsidRPr="003B1CAC">
        <w:rPr>
          <w:rFonts w:ascii="Verdana" w:hAnsi="Verdana" w:cs="Arial"/>
          <w:sz w:val="18"/>
          <w:szCs w:val="18"/>
          <w:lang w:val="nl-BE"/>
        </w:rPr>
        <w:t xml:space="preserve">Op basis van de beschikbare wetenschappelijke literatuur, concludeerde de </w:t>
      </w:r>
      <w:proofErr w:type="spellStart"/>
      <w:r w:rsidRPr="003B1CAC">
        <w:rPr>
          <w:rFonts w:ascii="Verdana" w:hAnsi="Verdana" w:cs="Arial"/>
          <w:sz w:val="18"/>
          <w:szCs w:val="18"/>
          <w:lang w:val="nl-BE"/>
        </w:rPr>
        <w:t>PhVWP</w:t>
      </w:r>
      <w:proofErr w:type="spellEnd"/>
      <w:r w:rsidRPr="003B1CAC">
        <w:rPr>
          <w:rFonts w:ascii="Verdana" w:hAnsi="Verdana" w:cs="Arial"/>
          <w:sz w:val="18"/>
          <w:szCs w:val="18"/>
          <w:lang w:val="nl-BE"/>
        </w:rPr>
        <w:t xml:space="preserve"> dat er onvoldoende evidentie was om een contra-indicatie te ondersteunen en formuleerde aanbevelingen voor rubriek 4.2 en 4.4 van de </w:t>
      </w:r>
      <w:r w:rsidR="002C7E9D" w:rsidRPr="003B1CAC">
        <w:rPr>
          <w:rFonts w:ascii="Verdana" w:hAnsi="Verdana" w:cs="Arial"/>
          <w:sz w:val="18"/>
          <w:szCs w:val="18"/>
          <w:lang w:val="nl-BE"/>
        </w:rPr>
        <w:t>SKP</w:t>
      </w:r>
      <w:r w:rsidRPr="003B1CAC">
        <w:rPr>
          <w:rFonts w:ascii="Verdana" w:hAnsi="Verdana" w:cs="Arial"/>
          <w:sz w:val="18"/>
          <w:szCs w:val="18"/>
          <w:lang w:val="nl-BE"/>
        </w:rPr>
        <w:t>.</w:t>
      </w:r>
    </w:p>
    <w:p w14:paraId="0CACE740" w14:textId="2BAFA703" w:rsidR="002B03E8" w:rsidRPr="003B1CAC" w:rsidRDefault="002C7E9D" w:rsidP="002F61A0">
      <w:pPr>
        <w:pStyle w:val="Paragraphedeliste"/>
        <w:numPr>
          <w:ilvl w:val="0"/>
          <w:numId w:val="34"/>
        </w:numPr>
        <w:tabs>
          <w:tab w:val="left" w:pos="426"/>
        </w:tabs>
        <w:ind w:left="567" w:hanging="207"/>
        <w:rPr>
          <w:rFonts w:ascii="Verdana" w:hAnsi="Verdana" w:cs="Arial"/>
          <w:sz w:val="18"/>
          <w:szCs w:val="18"/>
          <w:lang w:val="nl-BE"/>
        </w:rPr>
      </w:pPr>
      <w:r w:rsidRPr="003B1CAC">
        <w:rPr>
          <w:rFonts w:ascii="Verdana" w:hAnsi="Verdana" w:cs="Arial"/>
          <w:sz w:val="18"/>
          <w:szCs w:val="18"/>
          <w:lang w:val="nl-BE"/>
        </w:rPr>
        <w:t xml:space="preserve">De </w:t>
      </w:r>
      <w:r w:rsidR="00050026" w:rsidRPr="003B1CAC">
        <w:rPr>
          <w:rFonts w:ascii="Verdana" w:hAnsi="Verdana" w:cs="Arial"/>
          <w:sz w:val="18"/>
          <w:szCs w:val="18"/>
          <w:lang w:val="nl-BE"/>
        </w:rPr>
        <w:t>PRAC</w:t>
      </w:r>
      <w:r w:rsidRPr="003B1CAC">
        <w:rPr>
          <w:rFonts w:ascii="Verdana" w:hAnsi="Verdana" w:cs="Arial"/>
          <w:sz w:val="18"/>
          <w:szCs w:val="18"/>
          <w:lang w:val="nl-BE"/>
        </w:rPr>
        <w:t>-</w:t>
      </w:r>
      <w:r w:rsidR="00050026" w:rsidRPr="003B1CAC">
        <w:rPr>
          <w:rFonts w:ascii="Verdana" w:hAnsi="Verdana" w:cs="Arial"/>
          <w:sz w:val="18"/>
          <w:szCs w:val="18"/>
          <w:lang w:val="nl-BE"/>
        </w:rPr>
        <w:t>aanbeveling voor het s</w:t>
      </w:r>
      <w:r w:rsidR="002B03E8" w:rsidRPr="003B1CAC">
        <w:rPr>
          <w:rFonts w:ascii="Verdana" w:hAnsi="Verdana" w:cs="Arial"/>
          <w:sz w:val="18"/>
          <w:szCs w:val="18"/>
          <w:lang w:val="nl-BE"/>
        </w:rPr>
        <w:t xml:space="preserve">ignaal </w:t>
      </w:r>
      <w:r w:rsidRPr="003B1CAC">
        <w:rPr>
          <w:rFonts w:ascii="Verdana" w:hAnsi="Verdana" w:cs="Arial"/>
          <w:sz w:val="18"/>
          <w:szCs w:val="18"/>
          <w:lang w:val="nl-BE"/>
        </w:rPr>
        <w:t>“</w:t>
      </w:r>
      <w:r w:rsidR="002B03E8" w:rsidRPr="003B1CAC">
        <w:rPr>
          <w:rFonts w:ascii="Verdana" w:hAnsi="Verdana" w:cs="Arial"/>
          <w:sz w:val="18"/>
          <w:szCs w:val="18"/>
          <w:lang w:val="nl-BE"/>
        </w:rPr>
        <w:t>Paracetamol - Drug-</w:t>
      </w:r>
      <w:proofErr w:type="spellStart"/>
      <w:r w:rsidR="002B03E8" w:rsidRPr="003B1CAC">
        <w:rPr>
          <w:rFonts w:ascii="Verdana" w:hAnsi="Verdana" w:cs="Arial"/>
          <w:sz w:val="18"/>
          <w:szCs w:val="18"/>
          <w:lang w:val="nl-BE"/>
        </w:rPr>
        <w:t>induced</w:t>
      </w:r>
      <w:proofErr w:type="spellEnd"/>
      <w:r w:rsidR="002B03E8" w:rsidRPr="003B1CAC">
        <w:rPr>
          <w:rFonts w:ascii="Verdana" w:hAnsi="Verdana" w:cs="Arial"/>
          <w:sz w:val="18"/>
          <w:szCs w:val="18"/>
          <w:lang w:val="nl-BE"/>
        </w:rPr>
        <w:t xml:space="preserve"> Stevens-Johnson </w:t>
      </w:r>
      <w:proofErr w:type="spellStart"/>
      <w:r w:rsidR="002B03E8" w:rsidRPr="003B1CAC">
        <w:rPr>
          <w:rFonts w:ascii="Verdana" w:hAnsi="Verdana" w:cs="Arial"/>
          <w:sz w:val="18"/>
          <w:szCs w:val="18"/>
          <w:lang w:val="nl-BE"/>
        </w:rPr>
        <w:t>syndrome</w:t>
      </w:r>
      <w:proofErr w:type="spellEnd"/>
      <w:r w:rsidR="002B03E8" w:rsidRPr="003B1CAC">
        <w:rPr>
          <w:rFonts w:ascii="Verdana" w:hAnsi="Verdana" w:cs="Arial"/>
          <w:sz w:val="18"/>
          <w:szCs w:val="18"/>
          <w:lang w:val="nl-BE"/>
        </w:rPr>
        <w:t xml:space="preserve"> (SJS), </w:t>
      </w:r>
      <w:proofErr w:type="spellStart"/>
      <w:r w:rsidR="002B03E8" w:rsidRPr="003B1CAC">
        <w:rPr>
          <w:rFonts w:ascii="Verdana" w:hAnsi="Verdana" w:cs="Arial"/>
          <w:sz w:val="18"/>
          <w:szCs w:val="18"/>
          <w:lang w:val="nl-BE"/>
        </w:rPr>
        <w:t>toxic</w:t>
      </w:r>
      <w:proofErr w:type="spellEnd"/>
      <w:r w:rsidR="002B03E8" w:rsidRPr="003B1CAC">
        <w:rPr>
          <w:rFonts w:ascii="Verdana" w:hAnsi="Verdana" w:cs="Arial"/>
          <w:sz w:val="18"/>
          <w:szCs w:val="18"/>
          <w:lang w:val="nl-BE"/>
        </w:rPr>
        <w:t xml:space="preserve"> </w:t>
      </w:r>
      <w:proofErr w:type="spellStart"/>
      <w:r w:rsidR="002B03E8" w:rsidRPr="003B1CAC">
        <w:rPr>
          <w:rFonts w:ascii="Verdana" w:hAnsi="Verdana" w:cs="Arial"/>
          <w:sz w:val="18"/>
          <w:szCs w:val="18"/>
          <w:lang w:val="nl-BE"/>
        </w:rPr>
        <w:t>epidermal</w:t>
      </w:r>
      <w:proofErr w:type="spellEnd"/>
      <w:r w:rsidR="002B03E8" w:rsidRPr="003B1CAC">
        <w:rPr>
          <w:rFonts w:ascii="Verdana" w:hAnsi="Verdana" w:cs="Arial"/>
          <w:sz w:val="18"/>
          <w:szCs w:val="18"/>
          <w:lang w:val="nl-BE"/>
        </w:rPr>
        <w:t xml:space="preserve"> </w:t>
      </w:r>
      <w:proofErr w:type="spellStart"/>
      <w:r w:rsidR="002B03E8" w:rsidRPr="003B1CAC">
        <w:rPr>
          <w:rFonts w:ascii="Verdana" w:hAnsi="Verdana" w:cs="Arial"/>
          <w:sz w:val="18"/>
          <w:szCs w:val="18"/>
          <w:lang w:val="nl-BE"/>
        </w:rPr>
        <w:t>necrolysis</w:t>
      </w:r>
      <w:proofErr w:type="spellEnd"/>
      <w:r w:rsidR="002B03E8" w:rsidRPr="003B1CAC">
        <w:rPr>
          <w:rFonts w:ascii="Verdana" w:hAnsi="Verdana" w:cs="Arial"/>
          <w:sz w:val="18"/>
          <w:szCs w:val="18"/>
          <w:lang w:val="nl-BE"/>
        </w:rPr>
        <w:t xml:space="preserve"> (TEN) </w:t>
      </w:r>
      <w:proofErr w:type="spellStart"/>
      <w:r w:rsidR="002B03E8" w:rsidRPr="003B1CAC">
        <w:rPr>
          <w:rFonts w:ascii="Verdana" w:hAnsi="Verdana" w:cs="Arial"/>
          <w:sz w:val="18"/>
          <w:szCs w:val="18"/>
          <w:lang w:val="nl-BE"/>
        </w:rPr>
        <w:t>and</w:t>
      </w:r>
      <w:proofErr w:type="spellEnd"/>
      <w:r w:rsidR="002B03E8" w:rsidRPr="003B1CAC">
        <w:rPr>
          <w:rFonts w:ascii="Verdana" w:hAnsi="Verdana" w:cs="Arial"/>
          <w:sz w:val="18"/>
          <w:szCs w:val="18"/>
          <w:lang w:val="nl-BE"/>
        </w:rPr>
        <w:t xml:space="preserve"> acute </w:t>
      </w:r>
      <w:proofErr w:type="spellStart"/>
      <w:r w:rsidR="002B03E8" w:rsidRPr="003B1CAC">
        <w:rPr>
          <w:rFonts w:ascii="Verdana" w:hAnsi="Verdana" w:cs="Arial"/>
          <w:sz w:val="18"/>
          <w:szCs w:val="18"/>
          <w:lang w:val="nl-BE"/>
        </w:rPr>
        <w:t>generalised</w:t>
      </w:r>
      <w:proofErr w:type="spellEnd"/>
      <w:r w:rsidR="002B03E8" w:rsidRPr="003B1CAC">
        <w:rPr>
          <w:rFonts w:ascii="Verdana" w:hAnsi="Verdana" w:cs="Arial"/>
          <w:sz w:val="18"/>
          <w:szCs w:val="18"/>
          <w:lang w:val="nl-BE"/>
        </w:rPr>
        <w:t xml:space="preserve"> </w:t>
      </w:r>
      <w:proofErr w:type="spellStart"/>
      <w:r w:rsidR="002B03E8" w:rsidRPr="003B1CAC">
        <w:rPr>
          <w:rFonts w:ascii="Verdana" w:hAnsi="Verdana" w:cs="Arial"/>
          <w:sz w:val="18"/>
          <w:szCs w:val="18"/>
          <w:lang w:val="nl-BE"/>
        </w:rPr>
        <w:t>exanthematous</w:t>
      </w:r>
      <w:proofErr w:type="spellEnd"/>
      <w:r w:rsidR="002B03E8" w:rsidRPr="003B1CAC">
        <w:rPr>
          <w:rFonts w:ascii="Verdana" w:hAnsi="Verdana" w:cs="Arial"/>
          <w:sz w:val="18"/>
          <w:szCs w:val="18"/>
          <w:lang w:val="nl-BE"/>
        </w:rPr>
        <w:t xml:space="preserve"> </w:t>
      </w:r>
      <w:proofErr w:type="spellStart"/>
      <w:r w:rsidR="002B03E8" w:rsidRPr="003B1CAC">
        <w:rPr>
          <w:rFonts w:ascii="Verdana" w:hAnsi="Verdana" w:cs="Arial"/>
          <w:sz w:val="18"/>
          <w:szCs w:val="18"/>
          <w:lang w:val="nl-BE"/>
        </w:rPr>
        <w:t>pustulosis</w:t>
      </w:r>
      <w:proofErr w:type="spellEnd"/>
      <w:r w:rsidR="002B03E8" w:rsidRPr="003B1CAC">
        <w:rPr>
          <w:rFonts w:ascii="Verdana" w:hAnsi="Verdana" w:cs="Arial"/>
          <w:sz w:val="18"/>
          <w:szCs w:val="18"/>
          <w:lang w:val="nl-BE"/>
        </w:rPr>
        <w:t xml:space="preserve"> (AGEP)</w:t>
      </w:r>
      <w:r w:rsidRPr="003B1CAC">
        <w:rPr>
          <w:rFonts w:ascii="Verdana" w:hAnsi="Verdana" w:cs="Arial"/>
          <w:sz w:val="18"/>
          <w:szCs w:val="18"/>
          <w:lang w:val="nl-BE"/>
        </w:rPr>
        <w:t>”</w:t>
      </w:r>
      <w:r w:rsidR="00050026" w:rsidRPr="003B1CAC">
        <w:rPr>
          <w:rFonts w:ascii="Verdana" w:hAnsi="Verdana" w:cs="Arial"/>
          <w:sz w:val="18"/>
          <w:szCs w:val="18"/>
          <w:lang w:val="nl-BE"/>
        </w:rPr>
        <w:t xml:space="preserve"> (Ref.: </w:t>
      </w:r>
      <w:hyperlink r:id="rId10" w:history="1">
        <w:r w:rsidR="00050026" w:rsidRPr="003B1CAC">
          <w:rPr>
            <w:rStyle w:val="Lienhypertexte"/>
            <w:rFonts w:ascii="Verdana" w:hAnsi="Verdana"/>
            <w:sz w:val="18"/>
            <w:szCs w:val="18"/>
          </w:rPr>
          <w:t>EMA/PRAC/65788/2014, 24 februari 2014</w:t>
        </w:r>
      </w:hyperlink>
      <w:r w:rsidR="00050026" w:rsidRPr="003B1CAC">
        <w:rPr>
          <w:rFonts w:ascii="Verdana" w:hAnsi="Verdana" w:cs="Arial"/>
          <w:sz w:val="18"/>
          <w:szCs w:val="18"/>
          <w:lang w:val="nl-BE"/>
        </w:rPr>
        <w:t>).</w:t>
      </w:r>
    </w:p>
    <w:p w14:paraId="32A9E7D7" w14:textId="11B66412" w:rsidR="006D411B" w:rsidRPr="003B1CAC" w:rsidRDefault="002F61A0" w:rsidP="002F61A0">
      <w:pPr>
        <w:pStyle w:val="Paragraphedeliste"/>
        <w:numPr>
          <w:ilvl w:val="0"/>
          <w:numId w:val="34"/>
        </w:numPr>
        <w:tabs>
          <w:tab w:val="left" w:pos="480"/>
        </w:tabs>
        <w:ind w:left="567" w:hanging="207"/>
        <w:rPr>
          <w:rFonts w:ascii="Verdana" w:hAnsi="Verdana" w:cs="Arial"/>
          <w:sz w:val="18"/>
          <w:szCs w:val="18"/>
          <w:lang w:val="nl-BE"/>
        </w:rPr>
      </w:pPr>
      <w:r w:rsidRPr="003B1CAC">
        <w:rPr>
          <w:rFonts w:ascii="Verdana" w:hAnsi="Verdana" w:cs="Arial"/>
          <w:sz w:val="18"/>
          <w:szCs w:val="18"/>
          <w:lang w:val="nl-BE"/>
        </w:rPr>
        <w:t xml:space="preserve"> </w:t>
      </w:r>
      <w:r w:rsidR="00C57791" w:rsidRPr="003B1CAC">
        <w:rPr>
          <w:rFonts w:ascii="Verdana" w:hAnsi="Verdana" w:cs="Arial"/>
          <w:sz w:val="18"/>
          <w:szCs w:val="18"/>
          <w:lang w:val="nl-BE"/>
        </w:rPr>
        <w:t xml:space="preserve">De </w:t>
      </w:r>
      <w:r w:rsidR="006D411B" w:rsidRPr="003B1CAC">
        <w:rPr>
          <w:rFonts w:ascii="Verdana" w:hAnsi="Verdana" w:cs="Arial"/>
          <w:sz w:val="18"/>
          <w:szCs w:val="18"/>
          <w:lang w:val="nl-BE"/>
        </w:rPr>
        <w:t>PRAC</w:t>
      </w:r>
      <w:r w:rsidR="00C57791" w:rsidRPr="003B1CAC">
        <w:rPr>
          <w:rFonts w:ascii="Verdana" w:hAnsi="Verdana" w:cs="Arial"/>
          <w:sz w:val="18"/>
          <w:szCs w:val="18"/>
          <w:lang w:val="nl-BE"/>
        </w:rPr>
        <w:t>-</w:t>
      </w:r>
      <w:r w:rsidR="006D411B" w:rsidRPr="003B1CAC">
        <w:rPr>
          <w:rFonts w:ascii="Verdana" w:hAnsi="Verdana" w:cs="Arial"/>
          <w:sz w:val="18"/>
          <w:szCs w:val="18"/>
          <w:lang w:val="nl-BE"/>
        </w:rPr>
        <w:t>aanbeveling van september 2017</w:t>
      </w:r>
      <w:r w:rsidR="003213E1" w:rsidRPr="003B1CAC">
        <w:rPr>
          <w:rFonts w:ascii="Verdana" w:hAnsi="Verdana" w:cs="Arial"/>
          <w:sz w:val="18"/>
          <w:szCs w:val="18"/>
          <w:lang w:val="nl-BE"/>
        </w:rPr>
        <w:t xml:space="preserve"> over het gelijktijdig gebruik van flucloxacilline met paracetamol en het risico van </w:t>
      </w:r>
      <w:r w:rsidR="00AC0C43" w:rsidRPr="003B1CAC">
        <w:rPr>
          <w:rFonts w:ascii="Verdana" w:hAnsi="Verdana" w:cs="Arial"/>
          <w:sz w:val="18"/>
          <w:szCs w:val="18"/>
          <w:lang w:val="nl-BE"/>
        </w:rPr>
        <w:t>hoge anion gap metabole acidose</w:t>
      </w:r>
      <w:r w:rsidR="00FD755D" w:rsidRPr="003B1CAC">
        <w:rPr>
          <w:rFonts w:ascii="Verdana" w:hAnsi="Verdana" w:cs="Arial"/>
          <w:sz w:val="18"/>
          <w:szCs w:val="18"/>
          <w:lang w:val="nl-BE"/>
        </w:rPr>
        <w:t xml:space="preserve"> (</w:t>
      </w:r>
      <w:hyperlink r:id="rId11" w:history="1">
        <w:r w:rsidR="00FD755D" w:rsidRPr="003B1CAC">
          <w:rPr>
            <w:rStyle w:val="Lienhypertexte"/>
            <w:rFonts w:ascii="Verdana" w:hAnsi="Verdana"/>
            <w:sz w:val="18"/>
            <w:szCs w:val="18"/>
          </w:rPr>
          <w:t>Ref</w:t>
        </w:r>
        <w:r w:rsidR="001B6A36" w:rsidRPr="003B1CAC">
          <w:rPr>
            <w:rStyle w:val="Lienhypertexte"/>
            <w:rFonts w:ascii="Verdana" w:hAnsi="Verdana"/>
            <w:sz w:val="18"/>
            <w:szCs w:val="18"/>
          </w:rPr>
          <w:t>.</w:t>
        </w:r>
        <w:r w:rsidR="00FD755D" w:rsidRPr="003B1CAC">
          <w:rPr>
            <w:rStyle w:val="Lienhypertexte"/>
            <w:rFonts w:ascii="Verdana" w:hAnsi="Verdana"/>
            <w:sz w:val="18"/>
            <w:szCs w:val="18"/>
          </w:rPr>
          <w:t xml:space="preserve"> EMA/PRAC/610975/2017, </w:t>
        </w:r>
        <w:r w:rsidR="00CF6720" w:rsidRPr="003B1CAC">
          <w:rPr>
            <w:rStyle w:val="Lienhypertexte"/>
            <w:rFonts w:ascii="Verdana" w:hAnsi="Verdana"/>
            <w:sz w:val="18"/>
            <w:szCs w:val="18"/>
          </w:rPr>
          <w:t xml:space="preserve">12 </w:t>
        </w:r>
        <w:proofErr w:type="spellStart"/>
        <w:r w:rsidR="00CF6720" w:rsidRPr="003B1CAC">
          <w:rPr>
            <w:rStyle w:val="Lienhypertexte"/>
            <w:rFonts w:ascii="Verdana" w:hAnsi="Verdana"/>
            <w:sz w:val="18"/>
            <w:szCs w:val="18"/>
          </w:rPr>
          <w:t>October</w:t>
        </w:r>
        <w:proofErr w:type="spellEnd"/>
        <w:r w:rsidR="00CF6720" w:rsidRPr="003B1CAC">
          <w:rPr>
            <w:rStyle w:val="Lienhypertexte"/>
            <w:rFonts w:ascii="Verdana" w:hAnsi="Verdana"/>
            <w:sz w:val="18"/>
            <w:szCs w:val="18"/>
          </w:rPr>
          <w:t xml:space="preserve"> 2017</w:t>
        </w:r>
      </w:hyperlink>
      <w:r w:rsidR="00CF6720" w:rsidRPr="003B1CAC">
        <w:rPr>
          <w:rFonts w:ascii="Verdana" w:hAnsi="Verdana" w:cs="Arial"/>
          <w:sz w:val="18"/>
          <w:szCs w:val="18"/>
          <w:lang w:val="nl-BE"/>
        </w:rPr>
        <w:t>)</w:t>
      </w:r>
      <w:r w:rsidR="0034130A" w:rsidRPr="003B1CAC">
        <w:rPr>
          <w:rFonts w:ascii="Verdana" w:hAnsi="Verdana" w:cs="Arial"/>
          <w:sz w:val="18"/>
          <w:szCs w:val="18"/>
          <w:lang w:val="nl-BE"/>
        </w:rPr>
        <w:t>.</w:t>
      </w:r>
    </w:p>
    <w:p w14:paraId="3A9D465F" w14:textId="610DAF8F" w:rsidR="00AB28B3" w:rsidRPr="003B1CAC" w:rsidRDefault="002F61A0" w:rsidP="002F61A0">
      <w:pPr>
        <w:pStyle w:val="Paragraphedeliste"/>
        <w:numPr>
          <w:ilvl w:val="0"/>
          <w:numId w:val="34"/>
        </w:numPr>
        <w:tabs>
          <w:tab w:val="num" w:pos="284"/>
          <w:tab w:val="left" w:pos="480"/>
        </w:tabs>
        <w:ind w:left="567" w:hanging="207"/>
        <w:rPr>
          <w:rFonts w:ascii="Verdana" w:hAnsi="Verdana" w:cs="Arial"/>
          <w:sz w:val="18"/>
          <w:szCs w:val="18"/>
          <w:lang w:val="nl-BE"/>
        </w:rPr>
      </w:pPr>
      <w:r w:rsidRPr="003B1CAC">
        <w:rPr>
          <w:rFonts w:ascii="Verdana" w:hAnsi="Verdana" w:cs="Arial"/>
          <w:sz w:val="18"/>
          <w:szCs w:val="18"/>
          <w:lang w:val="nl-BE"/>
        </w:rPr>
        <w:t xml:space="preserve"> </w:t>
      </w:r>
      <w:r w:rsidR="00AB28B3" w:rsidRPr="003B1CAC">
        <w:rPr>
          <w:rFonts w:ascii="Verdana" w:hAnsi="Verdana" w:cs="Arial"/>
          <w:sz w:val="18"/>
          <w:szCs w:val="18"/>
          <w:lang w:val="nl-BE"/>
        </w:rPr>
        <w:t xml:space="preserve">De </w:t>
      </w:r>
      <w:r w:rsidR="006D411B" w:rsidRPr="003B1CAC">
        <w:rPr>
          <w:rFonts w:ascii="Verdana" w:hAnsi="Verdana" w:cs="Arial"/>
          <w:sz w:val="18"/>
          <w:szCs w:val="18"/>
          <w:lang w:val="nl-BE"/>
        </w:rPr>
        <w:t>PRAC</w:t>
      </w:r>
      <w:r w:rsidR="00AB28B3" w:rsidRPr="003B1CAC">
        <w:rPr>
          <w:rFonts w:ascii="Verdana" w:hAnsi="Verdana" w:cs="Arial"/>
          <w:sz w:val="18"/>
          <w:szCs w:val="18"/>
          <w:lang w:val="nl-BE"/>
        </w:rPr>
        <w:t>-</w:t>
      </w:r>
      <w:r w:rsidR="006D411B" w:rsidRPr="003B1CAC">
        <w:rPr>
          <w:rFonts w:ascii="Verdana" w:hAnsi="Verdana" w:cs="Arial"/>
          <w:sz w:val="18"/>
          <w:szCs w:val="18"/>
          <w:lang w:val="nl-BE"/>
        </w:rPr>
        <w:t xml:space="preserve">aanbeveling van maart 2019 over het gebruik van paracetamol tijdens de zwangerschap en de invloed op de neurologische ontwikkeling van het kind </w:t>
      </w:r>
      <w:r w:rsidR="003213E1" w:rsidRPr="003B1CAC">
        <w:rPr>
          <w:rFonts w:ascii="Verdana" w:hAnsi="Verdana" w:cs="Arial"/>
          <w:sz w:val="18"/>
          <w:szCs w:val="18"/>
          <w:lang w:val="nl-BE"/>
        </w:rPr>
        <w:t>en</w:t>
      </w:r>
      <w:r w:rsidR="00CF6720" w:rsidRPr="003B1CAC">
        <w:rPr>
          <w:rFonts w:ascii="Verdana" w:hAnsi="Verdana" w:cs="Arial"/>
          <w:sz w:val="18"/>
          <w:szCs w:val="18"/>
          <w:lang w:val="nl-BE"/>
        </w:rPr>
        <w:t xml:space="preserve"> op het urogenitale stelsel (</w:t>
      </w:r>
      <w:hyperlink r:id="rId12" w:history="1">
        <w:r w:rsidR="00CF6720" w:rsidRPr="003B1CAC">
          <w:rPr>
            <w:rStyle w:val="Lienhypertexte"/>
            <w:rFonts w:ascii="Verdana" w:hAnsi="Verdana"/>
            <w:sz w:val="18"/>
            <w:szCs w:val="18"/>
          </w:rPr>
          <w:t xml:space="preserve">Ref. </w:t>
        </w:r>
        <w:r w:rsidR="00CF6720" w:rsidRPr="003B1CAC">
          <w:rPr>
            <w:rStyle w:val="Lienhypertexte"/>
            <w:rFonts w:ascii="Verdana" w:hAnsi="Verdana"/>
            <w:sz w:val="18"/>
            <w:szCs w:val="18"/>
            <w:lang w:val="nl-BE"/>
          </w:rPr>
          <w:t>EMA/PRAC/157165/2019, 8 April 2019</w:t>
        </w:r>
      </w:hyperlink>
      <w:r w:rsidR="006D411B" w:rsidRPr="003B1CAC">
        <w:rPr>
          <w:rFonts w:ascii="Verdana" w:hAnsi="Verdana" w:cs="Arial"/>
          <w:sz w:val="18"/>
          <w:szCs w:val="18"/>
          <w:lang w:val="nl-BE"/>
        </w:rPr>
        <w:t>).</w:t>
      </w:r>
    </w:p>
    <w:p w14:paraId="4E3F2D81" w14:textId="68F01342" w:rsidR="00127283" w:rsidRPr="0064515D" w:rsidRDefault="006D411B" w:rsidP="0064515D">
      <w:pPr>
        <w:numPr>
          <w:ilvl w:val="0"/>
          <w:numId w:val="13"/>
        </w:numPr>
        <w:tabs>
          <w:tab w:val="clear" w:pos="360"/>
          <w:tab w:val="num" w:pos="284"/>
          <w:tab w:val="left" w:pos="480"/>
        </w:tabs>
        <w:ind w:left="284" w:hanging="284"/>
        <w:rPr>
          <w:rFonts w:ascii="Verdana" w:hAnsi="Verdana" w:cs="Arial"/>
          <w:sz w:val="18"/>
          <w:szCs w:val="18"/>
          <w:lang w:val="nl-BE"/>
        </w:rPr>
      </w:pPr>
      <w:r w:rsidRPr="003B1CAC">
        <w:rPr>
          <w:rFonts w:ascii="Verdana" w:hAnsi="Verdana" w:cs="Arial"/>
          <w:sz w:val="18"/>
          <w:szCs w:val="18"/>
          <w:lang w:val="nl-BE"/>
        </w:rPr>
        <w:t xml:space="preserve">Deze vermelding is ook van toepassing op geneesmiddelencombinaties die </w:t>
      </w:r>
      <w:r w:rsidR="00AB28B3" w:rsidRPr="003B1CAC">
        <w:rPr>
          <w:rFonts w:ascii="Verdana" w:hAnsi="Verdana" w:cs="Arial"/>
          <w:sz w:val="18"/>
          <w:szCs w:val="18"/>
          <w:lang w:val="nl-BE"/>
        </w:rPr>
        <w:t xml:space="preserve">naast paracetamol, een </w:t>
      </w:r>
      <w:r w:rsidRPr="003B1CAC">
        <w:rPr>
          <w:rFonts w:ascii="Verdana" w:hAnsi="Verdana" w:cs="Arial"/>
          <w:sz w:val="18"/>
          <w:szCs w:val="18"/>
          <w:lang w:val="nl-BE"/>
        </w:rPr>
        <w:t xml:space="preserve">of meer </w:t>
      </w:r>
      <w:r w:rsidR="00AB28B3" w:rsidRPr="003B1CAC">
        <w:rPr>
          <w:rFonts w:ascii="Verdana" w:hAnsi="Verdana" w:cs="Arial"/>
          <w:sz w:val="18"/>
          <w:szCs w:val="18"/>
          <w:lang w:val="nl-BE"/>
        </w:rPr>
        <w:t xml:space="preserve">andere werkzame stoffen </w:t>
      </w:r>
      <w:r w:rsidRPr="003B1CAC">
        <w:rPr>
          <w:rFonts w:ascii="Verdana" w:hAnsi="Verdana" w:cs="Arial"/>
          <w:sz w:val="18"/>
          <w:szCs w:val="18"/>
          <w:lang w:val="nl-BE"/>
        </w:rPr>
        <w:t xml:space="preserve">bevatten, tenzij er al striktere beperkingen gelden voor het gebruik van de combinatie tijdens de zwangerschap (zoals </w:t>
      </w:r>
      <w:r w:rsidR="008E2DED" w:rsidRPr="003B1CAC">
        <w:rPr>
          <w:rFonts w:ascii="Verdana" w:hAnsi="Verdana" w:cs="Arial"/>
          <w:sz w:val="18"/>
          <w:szCs w:val="18"/>
          <w:lang w:val="nl-BE"/>
        </w:rPr>
        <w:t xml:space="preserve">een </w:t>
      </w:r>
      <w:r w:rsidRPr="003B1CAC">
        <w:rPr>
          <w:rFonts w:ascii="Verdana" w:hAnsi="Verdana" w:cs="Arial"/>
          <w:sz w:val="18"/>
          <w:szCs w:val="18"/>
          <w:lang w:val="nl-BE"/>
        </w:rPr>
        <w:t xml:space="preserve">contra-indicatie) in verband met </w:t>
      </w:r>
      <w:r w:rsidR="008E2DED" w:rsidRPr="003B1CAC">
        <w:rPr>
          <w:rFonts w:ascii="Verdana" w:hAnsi="Verdana" w:cs="Arial"/>
          <w:sz w:val="18"/>
          <w:szCs w:val="18"/>
          <w:lang w:val="nl-BE"/>
        </w:rPr>
        <w:t xml:space="preserve">de </w:t>
      </w:r>
      <w:r w:rsidRPr="003B1CAC">
        <w:rPr>
          <w:rFonts w:ascii="Verdana" w:hAnsi="Verdana" w:cs="Arial"/>
          <w:sz w:val="18"/>
          <w:szCs w:val="18"/>
          <w:lang w:val="nl-BE"/>
        </w:rPr>
        <w:t>andere werkzame stof(</w:t>
      </w:r>
      <w:proofErr w:type="spellStart"/>
      <w:r w:rsidRPr="003B1CAC">
        <w:rPr>
          <w:rFonts w:ascii="Verdana" w:hAnsi="Verdana" w:cs="Arial"/>
          <w:sz w:val="18"/>
          <w:szCs w:val="18"/>
          <w:lang w:val="nl-BE"/>
        </w:rPr>
        <w:t>fen</w:t>
      </w:r>
      <w:proofErr w:type="spellEnd"/>
      <w:r w:rsidRPr="003B1CAC">
        <w:rPr>
          <w:rFonts w:ascii="Verdana" w:hAnsi="Verdana" w:cs="Arial"/>
          <w:sz w:val="18"/>
          <w:szCs w:val="18"/>
          <w:lang w:val="nl-BE"/>
        </w:rPr>
        <w:t>). In dit laatste geval heeft de strengste beperking voorrang op de tekst die voor het signaal is aangenomen.</w:t>
      </w:r>
      <w:r w:rsidR="00127283" w:rsidRPr="0064515D">
        <w:rPr>
          <w:rFonts w:ascii="Verdana" w:hAnsi="Verdana" w:cs="Arial"/>
          <w:sz w:val="18"/>
          <w:szCs w:val="18"/>
          <w:lang w:val="nl-BE"/>
        </w:rPr>
        <w:br w:type="page"/>
      </w:r>
    </w:p>
    <w:p w14:paraId="68C19629" w14:textId="77777777" w:rsidR="00715CA8" w:rsidRPr="003B1CAC" w:rsidRDefault="00715CA8" w:rsidP="002B30E8">
      <w:pPr>
        <w:tabs>
          <w:tab w:val="left" w:pos="480"/>
        </w:tabs>
        <w:rPr>
          <w:rFonts w:ascii="Verdana" w:hAnsi="Verdana" w:cs="Arial"/>
          <w:b/>
          <w:sz w:val="18"/>
          <w:szCs w:val="18"/>
          <w:lang w:val="nl-BE"/>
        </w:rPr>
      </w:pPr>
      <w:r w:rsidRPr="003B1CAC">
        <w:rPr>
          <w:rFonts w:ascii="Verdana" w:hAnsi="Verdana" w:cs="Arial"/>
          <w:b/>
          <w:sz w:val="18"/>
          <w:szCs w:val="18"/>
          <w:lang w:val="nl-BE"/>
        </w:rPr>
        <w:lastRenderedPageBreak/>
        <w:t>Samenvatting van de productkenmerken</w:t>
      </w:r>
      <w:r w:rsidR="00EA35FD" w:rsidRPr="003B1CAC">
        <w:rPr>
          <w:rFonts w:ascii="Verdana" w:hAnsi="Verdana" w:cs="Arial"/>
          <w:b/>
          <w:sz w:val="18"/>
          <w:szCs w:val="18"/>
          <w:lang w:val="nl-BE"/>
        </w:rPr>
        <w:t xml:space="preserve"> (SKP)</w:t>
      </w:r>
    </w:p>
    <w:p w14:paraId="65AA9D1A" w14:textId="77777777" w:rsidR="00715CA8" w:rsidRPr="003B1CAC" w:rsidRDefault="00715CA8" w:rsidP="002B30E8">
      <w:pPr>
        <w:tabs>
          <w:tab w:val="left" w:pos="480"/>
        </w:tabs>
        <w:rPr>
          <w:rFonts w:ascii="Verdana" w:hAnsi="Verdana"/>
          <w:sz w:val="18"/>
          <w:szCs w:val="18"/>
          <w:lang w:val="nl-BE"/>
        </w:rPr>
      </w:pPr>
    </w:p>
    <w:p w14:paraId="59DDF940" w14:textId="77777777" w:rsidR="008A2108" w:rsidRPr="003B1CAC" w:rsidRDefault="008A2108" w:rsidP="002B30E8">
      <w:pPr>
        <w:tabs>
          <w:tab w:val="left" w:pos="480"/>
        </w:tabs>
        <w:rPr>
          <w:rFonts w:ascii="Verdana" w:hAnsi="Verdana" w:cs="Arial"/>
          <w:b/>
          <w:sz w:val="18"/>
          <w:szCs w:val="18"/>
          <w:lang w:val="nl-BE"/>
        </w:rPr>
      </w:pPr>
      <w:r w:rsidRPr="003B1CAC">
        <w:rPr>
          <w:rFonts w:ascii="Verdana" w:hAnsi="Verdana" w:cs="Arial"/>
          <w:b/>
          <w:sz w:val="18"/>
          <w:szCs w:val="18"/>
          <w:lang w:val="nl-BE"/>
        </w:rPr>
        <w:t>4.2 Dosering en wijze van toediening</w:t>
      </w:r>
    </w:p>
    <w:p w14:paraId="33AFE2DE" w14:textId="140EBA49" w:rsidR="000C762E" w:rsidRPr="003B1CAC" w:rsidRDefault="00530C29" w:rsidP="002B30E8">
      <w:pPr>
        <w:tabs>
          <w:tab w:val="left" w:pos="480"/>
        </w:tabs>
        <w:rPr>
          <w:rFonts w:ascii="Verdana" w:hAnsi="Verdana" w:cs="Arial"/>
          <w:color w:val="0000FF"/>
          <w:sz w:val="18"/>
          <w:szCs w:val="18"/>
          <w:lang w:val="nl-BE"/>
        </w:rPr>
      </w:pPr>
      <w:r w:rsidRPr="003B1CAC">
        <w:rPr>
          <w:rFonts w:ascii="Verdana" w:hAnsi="Verdana" w:cs="Arial"/>
          <w:color w:val="0000FF"/>
          <w:sz w:val="18"/>
          <w:szCs w:val="18"/>
          <w:lang w:val="nl-BE"/>
        </w:rPr>
        <w:t>&lt;</w:t>
      </w:r>
      <w:r w:rsidR="00534961" w:rsidRPr="003B1CAC">
        <w:rPr>
          <w:rFonts w:ascii="Verdana" w:hAnsi="Verdana" w:cs="Arial"/>
          <w:color w:val="0000FF"/>
          <w:sz w:val="18"/>
          <w:szCs w:val="18"/>
          <w:lang w:val="nl-BE"/>
        </w:rPr>
        <w:t xml:space="preserve">Wanneer </w:t>
      </w:r>
      <w:r w:rsidR="007E0EED" w:rsidRPr="003B1CAC">
        <w:rPr>
          <w:rFonts w:ascii="Verdana" w:hAnsi="Verdana" w:cs="Arial"/>
          <w:color w:val="0000FF"/>
          <w:sz w:val="18"/>
          <w:szCs w:val="18"/>
          <w:lang w:val="nl-BE"/>
        </w:rPr>
        <w:t>de</w:t>
      </w:r>
      <w:r w:rsidRPr="003B1CAC">
        <w:rPr>
          <w:rFonts w:ascii="Verdana" w:hAnsi="Verdana" w:cs="Arial"/>
          <w:color w:val="0000FF"/>
          <w:sz w:val="18"/>
          <w:szCs w:val="18"/>
          <w:lang w:val="nl-BE"/>
        </w:rPr>
        <w:t xml:space="preserve"> sterkte/farmaceutische vorm niet </w:t>
      </w:r>
      <w:r w:rsidR="009E6B7E" w:rsidRPr="003B1CAC">
        <w:rPr>
          <w:rFonts w:ascii="Verdana" w:hAnsi="Verdana" w:cs="Arial"/>
          <w:color w:val="0000FF"/>
          <w:sz w:val="18"/>
          <w:szCs w:val="18"/>
          <w:lang w:val="nl-BE"/>
        </w:rPr>
        <w:t xml:space="preserve">is </w:t>
      </w:r>
      <w:r w:rsidR="00AD2E9F" w:rsidRPr="003B1CAC">
        <w:rPr>
          <w:rFonts w:ascii="Verdana" w:hAnsi="Verdana" w:cs="Arial"/>
          <w:color w:val="0000FF"/>
          <w:sz w:val="18"/>
          <w:szCs w:val="18"/>
          <w:lang w:val="nl-BE"/>
        </w:rPr>
        <w:t xml:space="preserve">geschikt </w:t>
      </w:r>
      <w:r w:rsidRPr="003B1CAC">
        <w:rPr>
          <w:rFonts w:ascii="Verdana" w:hAnsi="Verdana" w:cs="Arial"/>
          <w:color w:val="0000FF"/>
          <w:sz w:val="18"/>
          <w:szCs w:val="18"/>
          <w:lang w:val="nl-BE"/>
        </w:rPr>
        <w:t xml:space="preserve">voor een bepaalde leeftijdscategorie, </w:t>
      </w:r>
      <w:r w:rsidR="00534961" w:rsidRPr="003B1CAC">
        <w:rPr>
          <w:rFonts w:ascii="Verdana" w:hAnsi="Verdana" w:cs="Arial"/>
          <w:color w:val="0000FF"/>
          <w:sz w:val="18"/>
          <w:szCs w:val="18"/>
          <w:lang w:val="nl-BE"/>
        </w:rPr>
        <w:t xml:space="preserve">moet </w:t>
      </w:r>
      <w:r w:rsidR="007E0EED" w:rsidRPr="003B1CAC">
        <w:rPr>
          <w:rFonts w:ascii="Verdana" w:hAnsi="Verdana" w:cs="Arial"/>
          <w:color w:val="0000FF"/>
          <w:sz w:val="18"/>
          <w:szCs w:val="18"/>
          <w:lang w:val="nl-BE"/>
        </w:rPr>
        <w:t xml:space="preserve">dit </w:t>
      </w:r>
      <w:r w:rsidR="00534961" w:rsidRPr="003B1CAC">
        <w:rPr>
          <w:rFonts w:ascii="Verdana" w:hAnsi="Verdana" w:cs="Arial"/>
          <w:color w:val="0000FF"/>
          <w:sz w:val="18"/>
          <w:szCs w:val="18"/>
          <w:lang w:val="nl-BE"/>
        </w:rPr>
        <w:t xml:space="preserve">worden </w:t>
      </w:r>
      <w:r w:rsidR="007E0EED" w:rsidRPr="003B1CAC">
        <w:rPr>
          <w:rFonts w:ascii="Verdana" w:hAnsi="Verdana" w:cs="Arial"/>
          <w:color w:val="0000FF"/>
          <w:sz w:val="18"/>
          <w:szCs w:val="18"/>
          <w:lang w:val="nl-BE"/>
        </w:rPr>
        <w:t>vermeld en kan er eventueel naar</w:t>
      </w:r>
      <w:r w:rsidRPr="003B1CAC">
        <w:rPr>
          <w:rFonts w:ascii="Verdana" w:hAnsi="Verdana" w:cs="Arial"/>
          <w:color w:val="0000FF"/>
          <w:sz w:val="18"/>
          <w:szCs w:val="18"/>
          <w:lang w:val="nl-BE"/>
        </w:rPr>
        <w:t xml:space="preserve"> geschikte sterktes</w:t>
      </w:r>
      <w:r w:rsidR="007E0EED" w:rsidRPr="003B1CAC">
        <w:rPr>
          <w:rFonts w:ascii="Verdana" w:hAnsi="Verdana" w:cs="Arial"/>
          <w:color w:val="0000FF"/>
          <w:sz w:val="18"/>
          <w:szCs w:val="18"/>
          <w:lang w:val="nl-BE"/>
        </w:rPr>
        <w:t>/</w:t>
      </w:r>
      <w:r w:rsidRPr="003B1CAC">
        <w:rPr>
          <w:rFonts w:ascii="Verdana" w:hAnsi="Verdana" w:cs="Arial"/>
          <w:color w:val="0000FF"/>
          <w:sz w:val="18"/>
          <w:szCs w:val="18"/>
          <w:lang w:val="nl-BE"/>
        </w:rPr>
        <w:t>doseringsvormen worden</w:t>
      </w:r>
      <w:r w:rsidR="00534961" w:rsidRPr="003B1CAC">
        <w:rPr>
          <w:rFonts w:ascii="Verdana" w:hAnsi="Verdana" w:cs="Arial"/>
          <w:color w:val="0000FF"/>
          <w:sz w:val="18"/>
          <w:szCs w:val="18"/>
          <w:lang w:val="nl-BE"/>
        </w:rPr>
        <w:t xml:space="preserve"> verwezen</w:t>
      </w:r>
      <w:r w:rsidR="000C762E" w:rsidRPr="003B1CAC">
        <w:rPr>
          <w:rFonts w:ascii="Verdana" w:hAnsi="Verdana" w:cs="Arial"/>
          <w:color w:val="0000FF"/>
          <w:sz w:val="18"/>
          <w:szCs w:val="18"/>
          <w:lang w:val="nl-BE"/>
        </w:rPr>
        <w:t>, b</w:t>
      </w:r>
      <w:r w:rsidR="00F93680" w:rsidRPr="003B1CAC">
        <w:rPr>
          <w:rFonts w:ascii="Verdana" w:hAnsi="Verdana" w:cs="Arial"/>
          <w:color w:val="0000FF"/>
          <w:sz w:val="18"/>
          <w:szCs w:val="18"/>
          <w:lang w:val="nl-BE"/>
        </w:rPr>
        <w:t>ijvoorbeeld</w:t>
      </w:r>
      <w:r w:rsidR="000C762E" w:rsidRPr="003B1CAC">
        <w:rPr>
          <w:rFonts w:ascii="Verdana" w:hAnsi="Verdana" w:cs="Arial"/>
          <w:color w:val="0000FF"/>
          <w:sz w:val="18"/>
          <w:szCs w:val="18"/>
          <w:lang w:val="nl-BE"/>
        </w:rPr>
        <w:t>:</w:t>
      </w:r>
    </w:p>
    <w:p w14:paraId="7D9F3796" w14:textId="77777777" w:rsidR="00534961" w:rsidRPr="003B1CAC" w:rsidRDefault="00534961" w:rsidP="002B30E8">
      <w:pPr>
        <w:tabs>
          <w:tab w:val="left" w:pos="480"/>
        </w:tabs>
        <w:rPr>
          <w:rFonts w:ascii="Verdana" w:hAnsi="Verdana" w:cs="Arial"/>
          <w:color w:val="0000FF"/>
          <w:sz w:val="18"/>
          <w:szCs w:val="18"/>
          <w:lang w:val="nl-BE"/>
        </w:rPr>
      </w:pPr>
    </w:p>
    <w:p w14:paraId="602466A2" w14:textId="4B14785E" w:rsidR="00114E3C" w:rsidRPr="003B1CAC" w:rsidRDefault="00530C29" w:rsidP="002B30E8">
      <w:pPr>
        <w:numPr>
          <w:ilvl w:val="0"/>
          <w:numId w:val="9"/>
        </w:numPr>
        <w:tabs>
          <w:tab w:val="clear" w:pos="360"/>
          <w:tab w:val="num" w:pos="284"/>
        </w:tabs>
        <w:ind w:left="284" w:hanging="284"/>
        <w:rPr>
          <w:rFonts w:ascii="Verdana" w:hAnsi="Verdana" w:cs="Arial"/>
          <w:color w:val="0000FF"/>
          <w:sz w:val="18"/>
          <w:szCs w:val="18"/>
          <w:lang w:val="nl-BE"/>
        </w:rPr>
      </w:pPr>
      <w:r w:rsidRPr="003B1CAC">
        <w:rPr>
          <w:rFonts w:ascii="Verdana" w:hAnsi="Verdana" w:cs="Arial"/>
          <w:color w:val="0000FF"/>
          <w:sz w:val="18"/>
          <w:szCs w:val="18"/>
          <w:lang w:val="nl-BE"/>
        </w:rPr>
        <w:t>Paracetamol 1000 mg</w:t>
      </w:r>
      <w:r w:rsidR="00E05E1B" w:rsidRPr="003B1CAC">
        <w:rPr>
          <w:rFonts w:ascii="Verdana" w:hAnsi="Verdana" w:cs="Arial"/>
          <w:color w:val="0000FF"/>
          <w:sz w:val="18"/>
          <w:szCs w:val="18"/>
          <w:lang w:val="nl-BE"/>
        </w:rPr>
        <w:t xml:space="preserve"> (niet deelbaar)</w:t>
      </w:r>
      <w:r w:rsidRPr="003B1CAC">
        <w:rPr>
          <w:rFonts w:ascii="Verdana" w:hAnsi="Verdana" w:cs="Arial"/>
          <w:color w:val="0000FF"/>
          <w:sz w:val="18"/>
          <w:szCs w:val="18"/>
          <w:lang w:val="nl-BE"/>
        </w:rPr>
        <w:t>: “</w:t>
      </w:r>
      <w:r w:rsidR="0018590C" w:rsidRPr="003B1CAC">
        <w:rPr>
          <w:rFonts w:ascii="Verdana" w:hAnsi="Verdana" w:cs="Arial"/>
          <w:color w:val="0000FF"/>
          <w:sz w:val="18"/>
          <w:szCs w:val="18"/>
          <w:lang w:val="nl-BE"/>
        </w:rPr>
        <w:t>Deze presentatie is bestemd voor gebruik bij volwassenen en adolescenten van 16 jaar en ouder</w:t>
      </w:r>
      <w:r w:rsidR="00E56AFA" w:rsidRPr="003B1CAC">
        <w:rPr>
          <w:rFonts w:ascii="Verdana" w:hAnsi="Verdana" w:cs="Arial"/>
          <w:color w:val="0000FF"/>
          <w:sz w:val="18"/>
          <w:szCs w:val="18"/>
          <w:lang w:val="nl-BE"/>
        </w:rPr>
        <w:t xml:space="preserve"> (lichaamsgewicht &gt; </w:t>
      </w:r>
      <w:r w:rsidR="0018590C" w:rsidRPr="003B1CAC">
        <w:rPr>
          <w:rFonts w:ascii="Verdana" w:hAnsi="Verdana" w:cs="Arial"/>
          <w:color w:val="0000FF"/>
          <w:sz w:val="18"/>
          <w:szCs w:val="18"/>
          <w:lang w:val="nl-BE"/>
        </w:rPr>
        <w:t>50 kg</w:t>
      </w:r>
      <w:r w:rsidR="00E56AFA" w:rsidRPr="003B1CAC">
        <w:rPr>
          <w:rFonts w:ascii="Verdana" w:hAnsi="Verdana" w:cs="Arial"/>
          <w:color w:val="0000FF"/>
          <w:sz w:val="18"/>
          <w:szCs w:val="18"/>
          <w:lang w:val="nl-BE"/>
        </w:rPr>
        <w:t>)</w:t>
      </w:r>
      <w:r w:rsidR="00F93680" w:rsidRPr="003B1CAC">
        <w:rPr>
          <w:rFonts w:ascii="Verdana" w:hAnsi="Verdana" w:cs="Arial"/>
          <w:color w:val="0000FF"/>
          <w:sz w:val="18"/>
          <w:szCs w:val="18"/>
          <w:lang w:val="nl-BE"/>
        </w:rPr>
        <w:t>.</w:t>
      </w:r>
      <w:r w:rsidRPr="003B1CAC">
        <w:rPr>
          <w:rFonts w:ascii="Verdana" w:hAnsi="Verdana" w:cs="Arial"/>
          <w:color w:val="0000FF"/>
          <w:sz w:val="18"/>
          <w:szCs w:val="18"/>
          <w:lang w:val="nl-BE"/>
        </w:rPr>
        <w:t>”</w:t>
      </w:r>
    </w:p>
    <w:p w14:paraId="71E3FB59" w14:textId="6B5A7DA5" w:rsidR="000C762E" w:rsidRPr="003B1CAC" w:rsidRDefault="000C762E" w:rsidP="002B30E8">
      <w:pPr>
        <w:numPr>
          <w:ilvl w:val="0"/>
          <w:numId w:val="9"/>
        </w:numPr>
        <w:tabs>
          <w:tab w:val="clear" w:pos="360"/>
          <w:tab w:val="num" w:pos="284"/>
        </w:tabs>
        <w:ind w:left="284" w:hanging="284"/>
        <w:rPr>
          <w:rFonts w:ascii="Verdana" w:hAnsi="Verdana" w:cs="Arial"/>
          <w:color w:val="0000FF"/>
          <w:sz w:val="18"/>
          <w:szCs w:val="18"/>
          <w:lang w:val="nl-BE"/>
        </w:rPr>
      </w:pPr>
      <w:r w:rsidRPr="003B1CAC">
        <w:rPr>
          <w:rFonts w:ascii="Verdana" w:hAnsi="Verdana" w:cs="Arial"/>
          <w:color w:val="0000FF"/>
          <w:sz w:val="18"/>
          <w:szCs w:val="18"/>
          <w:lang w:val="nl-BE"/>
        </w:rPr>
        <w:t>Paracetamol 500 mg</w:t>
      </w:r>
      <w:r w:rsidR="00F93680" w:rsidRPr="003B1CAC">
        <w:rPr>
          <w:rFonts w:ascii="Verdana" w:hAnsi="Verdana" w:cs="Arial"/>
          <w:color w:val="0000FF"/>
          <w:sz w:val="18"/>
          <w:szCs w:val="18"/>
          <w:lang w:val="nl-BE"/>
        </w:rPr>
        <w:t xml:space="preserve"> (niet deelbaar)</w:t>
      </w:r>
      <w:r w:rsidRPr="003B1CAC">
        <w:rPr>
          <w:rFonts w:ascii="Verdana" w:hAnsi="Verdana" w:cs="Arial"/>
          <w:color w:val="0000FF"/>
          <w:sz w:val="18"/>
          <w:szCs w:val="18"/>
          <w:lang w:val="nl-BE"/>
        </w:rPr>
        <w:t xml:space="preserve">: “Deze presentatie is bestemd voor gebruik bij volwassenen en </w:t>
      </w:r>
      <w:r w:rsidR="00E1424E" w:rsidRPr="003B1CAC">
        <w:rPr>
          <w:rFonts w:ascii="Verdana" w:hAnsi="Verdana" w:cs="Arial"/>
          <w:color w:val="0000FF"/>
          <w:sz w:val="18"/>
          <w:szCs w:val="18"/>
          <w:lang w:val="nl-BE"/>
        </w:rPr>
        <w:t>adolescenten</w:t>
      </w:r>
      <w:r w:rsidRPr="003B1CAC">
        <w:rPr>
          <w:rFonts w:ascii="Verdana" w:hAnsi="Verdana" w:cs="Arial"/>
          <w:color w:val="0000FF"/>
          <w:sz w:val="18"/>
          <w:szCs w:val="18"/>
          <w:lang w:val="nl-BE"/>
        </w:rPr>
        <w:t xml:space="preserve"> van 12 jaar en ouder.”</w:t>
      </w:r>
      <w:r w:rsidR="007E0EED" w:rsidRPr="003B1CAC">
        <w:rPr>
          <w:rFonts w:ascii="Verdana" w:hAnsi="Verdana" w:cs="Arial"/>
          <w:color w:val="0000FF"/>
          <w:sz w:val="18"/>
          <w:szCs w:val="18"/>
          <w:lang w:val="nl-BE"/>
        </w:rPr>
        <w:t>&gt;</w:t>
      </w:r>
    </w:p>
    <w:p w14:paraId="522E7340" w14:textId="77777777" w:rsidR="00A65B05" w:rsidRPr="003B1CAC" w:rsidRDefault="00A65B05" w:rsidP="002B30E8">
      <w:pPr>
        <w:tabs>
          <w:tab w:val="left" w:pos="480"/>
        </w:tabs>
        <w:rPr>
          <w:rFonts w:ascii="Verdana" w:hAnsi="Verdana"/>
          <w:sz w:val="18"/>
          <w:szCs w:val="18"/>
          <w:lang w:val="nl-BE"/>
        </w:rPr>
      </w:pPr>
    </w:p>
    <w:p w14:paraId="5B084A12" w14:textId="5560067A" w:rsidR="001B5EAF" w:rsidRPr="003B1CAC" w:rsidRDefault="001B5EAF" w:rsidP="002B30E8">
      <w:p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De duur van de behandeling </w:t>
      </w:r>
      <w:r w:rsidR="000E6839" w:rsidRPr="003B1CAC">
        <w:rPr>
          <w:rFonts w:ascii="Verdana" w:hAnsi="Verdana" w:cs="Arial"/>
          <w:sz w:val="18"/>
          <w:szCs w:val="18"/>
          <w:lang w:val="nl-BE"/>
        </w:rPr>
        <w:t xml:space="preserve">moet </w:t>
      </w:r>
      <w:r w:rsidRPr="003B1CAC">
        <w:rPr>
          <w:rFonts w:ascii="Verdana" w:hAnsi="Verdana" w:cs="Arial"/>
          <w:sz w:val="18"/>
          <w:szCs w:val="18"/>
          <w:lang w:val="nl-BE"/>
        </w:rPr>
        <w:t xml:space="preserve">zo kort mogelijk zijn en </w:t>
      </w:r>
      <w:r w:rsidR="000E6839" w:rsidRPr="003B1CAC">
        <w:rPr>
          <w:rFonts w:ascii="Verdana" w:hAnsi="Verdana" w:cs="Arial"/>
          <w:sz w:val="18"/>
          <w:szCs w:val="18"/>
          <w:lang w:val="nl-BE"/>
        </w:rPr>
        <w:t>beperkt</w:t>
      </w:r>
      <w:r w:rsidRPr="003B1CAC">
        <w:rPr>
          <w:rFonts w:ascii="Verdana" w:hAnsi="Verdana" w:cs="Arial"/>
          <w:sz w:val="18"/>
          <w:szCs w:val="18"/>
          <w:lang w:val="nl-BE"/>
        </w:rPr>
        <w:t xml:space="preserve"> tot de periode waarin de symptomen aanwezig zijn.</w:t>
      </w:r>
    </w:p>
    <w:p w14:paraId="680E7CFD" w14:textId="77777777" w:rsidR="00E43DBE" w:rsidRPr="003B1CAC" w:rsidRDefault="00E43DBE" w:rsidP="002B30E8">
      <w:pPr>
        <w:tabs>
          <w:tab w:val="left" w:pos="480"/>
        </w:tabs>
        <w:rPr>
          <w:rFonts w:ascii="Verdana" w:hAnsi="Verdana" w:cs="Arial"/>
          <w:sz w:val="18"/>
          <w:szCs w:val="18"/>
          <w:u w:val="single"/>
          <w:lang w:val="nl-BE"/>
        </w:rPr>
      </w:pPr>
    </w:p>
    <w:p w14:paraId="0EDDD7B2" w14:textId="77777777" w:rsidR="006004A0" w:rsidRPr="003B1CAC" w:rsidRDefault="006004A0" w:rsidP="002B30E8">
      <w:pPr>
        <w:tabs>
          <w:tab w:val="left" w:pos="480"/>
        </w:tabs>
        <w:rPr>
          <w:rFonts w:ascii="Verdana" w:hAnsi="Verdana" w:cs="Arial"/>
          <w:b/>
          <w:sz w:val="18"/>
          <w:szCs w:val="18"/>
          <w:lang w:val="nl-BE"/>
        </w:rPr>
      </w:pPr>
      <w:r w:rsidRPr="003B1CAC">
        <w:rPr>
          <w:rFonts w:ascii="Verdana" w:hAnsi="Verdana" w:cs="Arial"/>
          <w:b/>
          <w:sz w:val="18"/>
          <w:szCs w:val="18"/>
          <w:lang w:val="nl-BE"/>
        </w:rPr>
        <w:t>Dosering</w:t>
      </w:r>
    </w:p>
    <w:p w14:paraId="2DC54309" w14:textId="0FB360CE" w:rsidR="00835FDC" w:rsidRPr="001D3012" w:rsidRDefault="00BC2D4F" w:rsidP="001D3012">
      <w:pPr>
        <w:pStyle w:val="Paragraphedeliste"/>
        <w:numPr>
          <w:ilvl w:val="0"/>
          <w:numId w:val="32"/>
        </w:numPr>
        <w:tabs>
          <w:tab w:val="left" w:pos="5812"/>
        </w:tabs>
        <w:ind w:left="284" w:hanging="284"/>
        <w:rPr>
          <w:rFonts w:ascii="Verdana" w:hAnsi="Verdana"/>
          <w:sz w:val="18"/>
          <w:szCs w:val="18"/>
          <w:lang w:val="nl-BE"/>
        </w:rPr>
      </w:pPr>
      <w:r w:rsidRPr="003B1CAC">
        <w:rPr>
          <w:rFonts w:ascii="Verdana" w:hAnsi="Verdana"/>
          <w:sz w:val="18"/>
          <w:szCs w:val="18"/>
          <w:lang w:val="nl-BE"/>
        </w:rPr>
        <w:t xml:space="preserve">Kinderen </w:t>
      </w:r>
      <w:r w:rsidR="008D32AA" w:rsidRPr="003B1CAC">
        <w:rPr>
          <w:rFonts w:ascii="Verdana" w:hAnsi="Verdana"/>
          <w:sz w:val="18"/>
          <w:szCs w:val="18"/>
          <w:lang w:val="nl-BE"/>
        </w:rPr>
        <w:t>en adolescenten</w:t>
      </w:r>
      <w:r w:rsidR="00BA23A2" w:rsidRPr="003B1CAC">
        <w:rPr>
          <w:rFonts w:ascii="Verdana" w:hAnsi="Verdana"/>
          <w:sz w:val="18"/>
          <w:szCs w:val="18"/>
          <w:lang w:val="nl-BE"/>
        </w:rPr>
        <w:t xml:space="preserve"> </w:t>
      </w:r>
      <w:r w:rsidR="00F909AB" w:rsidRPr="003B1CAC">
        <w:rPr>
          <w:rFonts w:ascii="Verdana" w:hAnsi="Verdana"/>
          <w:sz w:val="18"/>
          <w:szCs w:val="18"/>
          <w:lang w:val="nl-BE"/>
        </w:rPr>
        <w:t>(lichaamsgewicht &lt; 50 kg)</w:t>
      </w:r>
      <w:r w:rsidR="002E0A3F" w:rsidRPr="001D3012">
        <w:rPr>
          <w:rFonts w:ascii="Verdana" w:hAnsi="Verdana"/>
          <w:sz w:val="18"/>
          <w:szCs w:val="18"/>
          <w:vertAlign w:val="superscript"/>
          <w:lang w:val="nl-BE"/>
        </w:rPr>
        <w:t>[</w:t>
      </w:r>
      <w:r w:rsidR="004E5343" w:rsidRPr="001D3012">
        <w:rPr>
          <w:rFonts w:ascii="Verdana" w:hAnsi="Verdana"/>
          <w:sz w:val="18"/>
          <w:szCs w:val="18"/>
          <w:vertAlign w:val="superscript"/>
          <w:lang w:val="nl-BE"/>
        </w:rPr>
        <w:t>2,</w:t>
      </w:r>
      <w:r w:rsidR="00AC53FD" w:rsidRPr="001D3012">
        <w:rPr>
          <w:rFonts w:ascii="Verdana" w:hAnsi="Verdana"/>
          <w:sz w:val="18"/>
          <w:szCs w:val="18"/>
          <w:vertAlign w:val="superscript"/>
          <w:lang w:val="nl-BE"/>
        </w:rPr>
        <w:t>5</w:t>
      </w:r>
      <w:r w:rsidR="002E0A3F" w:rsidRPr="001D3012">
        <w:rPr>
          <w:rFonts w:ascii="Verdana" w:hAnsi="Verdana"/>
          <w:sz w:val="18"/>
          <w:szCs w:val="18"/>
          <w:vertAlign w:val="superscript"/>
          <w:lang w:val="nl-BE"/>
        </w:rPr>
        <w:t>]</w:t>
      </w:r>
      <w:r w:rsidR="001D3012" w:rsidRPr="001D3012">
        <w:rPr>
          <w:rFonts w:ascii="Verdana" w:hAnsi="Verdana"/>
          <w:sz w:val="18"/>
          <w:szCs w:val="18"/>
          <w:lang w:val="nl-BE"/>
        </w:rPr>
        <w:t xml:space="preserve"> </w:t>
      </w:r>
    </w:p>
    <w:p w14:paraId="03A97FEC" w14:textId="29DA912D" w:rsidR="00A9560C" w:rsidRPr="003B1CAC" w:rsidRDefault="00A9560C" w:rsidP="002B30E8">
      <w:pPr>
        <w:tabs>
          <w:tab w:val="left" w:pos="480"/>
        </w:tabs>
        <w:rPr>
          <w:rFonts w:ascii="Verdana" w:hAnsi="Verdana" w:cs="Arial"/>
          <w:sz w:val="18"/>
          <w:szCs w:val="18"/>
          <w:lang w:val="nl-BE"/>
        </w:rPr>
      </w:pPr>
      <w:r w:rsidRPr="003B1CAC">
        <w:rPr>
          <w:rFonts w:ascii="Verdana" w:hAnsi="Verdana" w:cs="Arial"/>
          <w:sz w:val="18"/>
          <w:szCs w:val="18"/>
          <w:lang w:val="nl-BE"/>
        </w:rPr>
        <w:t>De gebruikelijke dosis</w:t>
      </w:r>
      <w:r w:rsidR="002D196A" w:rsidRPr="003B1CAC">
        <w:rPr>
          <w:rStyle w:val="Appelnotedebasdep"/>
          <w:rFonts w:ascii="Verdana" w:hAnsi="Verdana" w:cs="Arial"/>
          <w:sz w:val="18"/>
          <w:szCs w:val="18"/>
          <w:lang w:val="nl-BE"/>
        </w:rPr>
        <w:footnoteReference w:id="1"/>
      </w:r>
      <w:r w:rsidRPr="003B1CAC">
        <w:rPr>
          <w:rFonts w:ascii="Verdana" w:hAnsi="Verdana" w:cs="Arial"/>
          <w:sz w:val="18"/>
          <w:szCs w:val="18"/>
          <w:lang w:val="nl-BE"/>
        </w:rPr>
        <w:t xml:space="preserve"> is </w:t>
      </w:r>
      <w:r w:rsidR="00A4445E" w:rsidRPr="003B1CAC">
        <w:rPr>
          <w:rFonts w:ascii="Verdana" w:hAnsi="Verdana" w:cs="Arial"/>
          <w:sz w:val="18"/>
          <w:szCs w:val="18"/>
          <w:lang w:val="nl-BE"/>
        </w:rPr>
        <w:t>15 mg/kg</w:t>
      </w:r>
      <w:r w:rsidRPr="003B1CAC">
        <w:rPr>
          <w:rFonts w:ascii="Verdana" w:hAnsi="Verdana" w:cs="Arial"/>
          <w:sz w:val="18"/>
          <w:szCs w:val="18"/>
          <w:lang w:val="nl-BE"/>
        </w:rPr>
        <w:t xml:space="preserve"> per </w:t>
      </w:r>
      <w:r w:rsidR="002E0A3F" w:rsidRPr="003B1CAC">
        <w:rPr>
          <w:rFonts w:ascii="Verdana" w:hAnsi="Verdana" w:cs="Arial"/>
          <w:sz w:val="18"/>
          <w:szCs w:val="18"/>
          <w:lang w:val="nl-BE"/>
        </w:rPr>
        <w:t>keer</w:t>
      </w:r>
      <w:r w:rsidRPr="003B1CAC">
        <w:rPr>
          <w:rFonts w:ascii="Verdana" w:hAnsi="Verdana" w:cs="Arial"/>
          <w:sz w:val="18"/>
          <w:szCs w:val="18"/>
          <w:lang w:val="nl-BE"/>
        </w:rPr>
        <w:t xml:space="preserve">, tot </w:t>
      </w:r>
      <w:r w:rsidR="00E9617D" w:rsidRPr="003B1CAC">
        <w:rPr>
          <w:rFonts w:ascii="Verdana" w:hAnsi="Verdana" w:cs="Arial"/>
          <w:sz w:val="18"/>
          <w:szCs w:val="18"/>
          <w:lang w:val="nl-BE"/>
        </w:rPr>
        <w:t xml:space="preserve">maximaal </w:t>
      </w:r>
      <w:r w:rsidRPr="003B1CAC">
        <w:rPr>
          <w:rFonts w:ascii="Verdana" w:hAnsi="Verdana" w:cs="Arial"/>
          <w:sz w:val="18"/>
          <w:szCs w:val="18"/>
          <w:lang w:val="nl-BE"/>
        </w:rPr>
        <w:t xml:space="preserve">4 </w:t>
      </w:r>
      <w:r w:rsidR="002E0A3F" w:rsidRPr="003B1CAC">
        <w:rPr>
          <w:rFonts w:ascii="Verdana" w:hAnsi="Verdana" w:cs="Arial"/>
          <w:sz w:val="18"/>
          <w:szCs w:val="18"/>
          <w:lang w:val="nl-BE"/>
        </w:rPr>
        <w:t>maal</w:t>
      </w:r>
      <w:r w:rsidRPr="003B1CAC">
        <w:rPr>
          <w:rFonts w:ascii="Verdana" w:hAnsi="Verdana" w:cs="Arial"/>
          <w:sz w:val="18"/>
          <w:szCs w:val="18"/>
          <w:lang w:val="nl-BE"/>
        </w:rPr>
        <w:t xml:space="preserve"> per dag</w:t>
      </w:r>
      <w:r w:rsidR="008C3F15" w:rsidRPr="003B1CAC">
        <w:rPr>
          <w:rFonts w:ascii="Verdana" w:hAnsi="Verdana" w:cs="Arial"/>
          <w:sz w:val="18"/>
          <w:szCs w:val="18"/>
          <w:lang w:val="nl-BE"/>
        </w:rPr>
        <w:t>.</w:t>
      </w:r>
    </w:p>
    <w:p w14:paraId="189D376F" w14:textId="6A932A1F" w:rsidR="00A9560C" w:rsidRPr="003B1CAC" w:rsidRDefault="00A9560C" w:rsidP="002B30E8">
      <w:pPr>
        <w:tabs>
          <w:tab w:val="left" w:pos="480"/>
        </w:tabs>
        <w:rPr>
          <w:rFonts w:ascii="Verdana" w:hAnsi="Verdana" w:cs="Arial"/>
          <w:sz w:val="18"/>
          <w:szCs w:val="18"/>
          <w:lang w:val="nl-BE"/>
        </w:rPr>
      </w:pPr>
      <w:r w:rsidRPr="003B1CAC">
        <w:rPr>
          <w:rFonts w:ascii="Verdana" w:hAnsi="Verdana" w:cs="Arial"/>
          <w:sz w:val="18"/>
          <w:szCs w:val="18"/>
          <w:lang w:val="nl-BE"/>
        </w:rPr>
        <w:t xml:space="preserve">Het toedieningsinterval </w:t>
      </w:r>
      <w:r w:rsidR="00420E6F" w:rsidRPr="003B1CAC">
        <w:rPr>
          <w:rFonts w:ascii="Verdana" w:hAnsi="Verdana" w:cs="Arial"/>
          <w:sz w:val="18"/>
          <w:szCs w:val="18"/>
          <w:lang w:val="nl-BE"/>
        </w:rPr>
        <w:t xml:space="preserve">moet minstens </w:t>
      </w:r>
      <w:r w:rsidRPr="003B1CAC">
        <w:rPr>
          <w:rFonts w:ascii="Verdana" w:hAnsi="Verdana" w:cs="Arial"/>
          <w:sz w:val="18"/>
          <w:szCs w:val="18"/>
          <w:lang w:val="nl-BE"/>
        </w:rPr>
        <w:t>4 uur bedragen. De maximale doses zijn 15 mg/kg per inname en 60 mg/kg/</w:t>
      </w:r>
      <w:r w:rsidR="002E0A3F" w:rsidRPr="003B1CAC">
        <w:rPr>
          <w:rFonts w:ascii="Verdana" w:hAnsi="Verdana" w:cs="Arial"/>
          <w:sz w:val="18"/>
          <w:szCs w:val="18"/>
          <w:lang w:val="nl-BE"/>
        </w:rPr>
        <w:t>dag</w:t>
      </w:r>
      <w:r w:rsidRPr="003B1CAC">
        <w:rPr>
          <w:rFonts w:ascii="Verdana" w:hAnsi="Verdana" w:cs="Arial"/>
          <w:sz w:val="18"/>
          <w:szCs w:val="18"/>
          <w:lang w:val="nl-BE"/>
        </w:rPr>
        <w:t>.</w:t>
      </w:r>
    </w:p>
    <w:p w14:paraId="626467BA" w14:textId="77777777" w:rsidR="002D196A" w:rsidRPr="003B1CAC" w:rsidRDefault="002D196A" w:rsidP="002B30E8">
      <w:pPr>
        <w:tabs>
          <w:tab w:val="left" w:pos="480"/>
        </w:tabs>
        <w:rPr>
          <w:rFonts w:ascii="Verdana" w:hAnsi="Verdana" w:cs="Arial"/>
          <w:sz w:val="18"/>
          <w:szCs w:val="18"/>
          <w:lang w:val="nl-BE"/>
        </w:rPr>
      </w:pPr>
    </w:p>
    <w:p w14:paraId="40EC3292" w14:textId="5C921613" w:rsidR="00150325" w:rsidRPr="003B1CAC" w:rsidRDefault="002E0A3F" w:rsidP="002B30E8">
      <w:pPr>
        <w:tabs>
          <w:tab w:val="left" w:pos="480"/>
        </w:tabs>
        <w:rPr>
          <w:rFonts w:ascii="Verdana" w:hAnsi="Verdana" w:cs="Arial"/>
          <w:color w:val="0000FF"/>
          <w:sz w:val="18"/>
          <w:szCs w:val="18"/>
          <w:lang w:val="nl-BE"/>
        </w:rPr>
      </w:pPr>
      <w:r w:rsidRPr="003B1CAC">
        <w:rPr>
          <w:rFonts w:ascii="Verdana" w:hAnsi="Verdana" w:cs="Arial"/>
          <w:color w:val="0000FF"/>
          <w:sz w:val="18"/>
          <w:szCs w:val="18"/>
          <w:lang w:val="nl-BE"/>
        </w:rPr>
        <w:t>&lt;</w:t>
      </w:r>
      <w:r w:rsidR="00AD44BA" w:rsidRPr="003B1CAC">
        <w:rPr>
          <w:rFonts w:ascii="Verdana" w:hAnsi="Verdana" w:cs="Arial"/>
          <w:color w:val="0000FF"/>
          <w:sz w:val="18"/>
          <w:szCs w:val="18"/>
          <w:lang w:val="nl-BE"/>
        </w:rPr>
        <w:t>Er moeten s</w:t>
      </w:r>
      <w:r w:rsidR="00530C29" w:rsidRPr="003B1CAC">
        <w:rPr>
          <w:rFonts w:ascii="Verdana" w:hAnsi="Verdana" w:cs="Arial"/>
          <w:color w:val="0000FF"/>
          <w:sz w:val="18"/>
          <w:szCs w:val="18"/>
          <w:lang w:val="nl-BE"/>
        </w:rPr>
        <w:t xml:space="preserve">pecifieke aanbevelingen </w:t>
      </w:r>
      <w:r w:rsidR="00AD44BA" w:rsidRPr="003B1CAC">
        <w:rPr>
          <w:rFonts w:ascii="Verdana" w:hAnsi="Verdana" w:cs="Arial"/>
          <w:color w:val="0000FF"/>
          <w:sz w:val="18"/>
          <w:szCs w:val="18"/>
          <w:lang w:val="nl-BE"/>
        </w:rPr>
        <w:t xml:space="preserve">worden </w:t>
      </w:r>
      <w:r w:rsidR="00530C29" w:rsidRPr="003B1CAC">
        <w:rPr>
          <w:rFonts w:ascii="Verdana" w:hAnsi="Verdana" w:cs="Arial"/>
          <w:color w:val="0000FF"/>
          <w:sz w:val="18"/>
          <w:szCs w:val="18"/>
          <w:lang w:val="nl-BE"/>
        </w:rPr>
        <w:t>toegevoegd voor elke doseringsvorm/sterkte, bij voorkeur uitgedrukt per leeftijdscategorie en lichaamsgewicht.</w:t>
      </w:r>
    </w:p>
    <w:p w14:paraId="31330443" w14:textId="38E15D38" w:rsidR="001D3012" w:rsidRPr="007E45D7" w:rsidRDefault="002D196A" w:rsidP="001D3012">
      <w:pPr>
        <w:tabs>
          <w:tab w:val="left" w:pos="480"/>
        </w:tabs>
        <w:rPr>
          <w:rFonts w:ascii="Verdana" w:hAnsi="Verdana" w:cs="Arial"/>
          <w:color w:val="0000FF"/>
          <w:sz w:val="18"/>
          <w:szCs w:val="18"/>
          <w:lang w:val="nl-BE"/>
        </w:rPr>
      </w:pPr>
      <w:r w:rsidRPr="003B1CAC">
        <w:rPr>
          <w:rFonts w:ascii="Verdana" w:hAnsi="Verdana" w:cs="Arial"/>
          <w:color w:val="0000FF"/>
          <w:sz w:val="18"/>
          <w:szCs w:val="18"/>
          <w:lang w:val="nl-BE"/>
        </w:rPr>
        <w:t>Vo</w:t>
      </w:r>
      <w:r w:rsidR="000C3886" w:rsidRPr="003B1CAC">
        <w:rPr>
          <w:rFonts w:ascii="Verdana" w:hAnsi="Verdana" w:cs="Arial"/>
          <w:color w:val="0000FF"/>
          <w:sz w:val="18"/>
          <w:szCs w:val="18"/>
          <w:lang w:val="nl-BE"/>
        </w:rPr>
        <w:t xml:space="preserve">or </w:t>
      </w:r>
      <w:r w:rsidR="00CB566C" w:rsidRPr="003B1CAC">
        <w:rPr>
          <w:rFonts w:ascii="Verdana" w:hAnsi="Verdana" w:cs="Arial"/>
          <w:color w:val="0000FF"/>
          <w:sz w:val="18"/>
          <w:szCs w:val="18"/>
          <w:lang w:val="nl-BE"/>
        </w:rPr>
        <w:t>vloeibare orale vormen (</w:t>
      </w:r>
      <w:r w:rsidR="000C3886" w:rsidRPr="003B1CAC">
        <w:rPr>
          <w:rFonts w:ascii="Verdana" w:hAnsi="Verdana" w:cs="Arial"/>
          <w:color w:val="0000FF"/>
          <w:sz w:val="18"/>
          <w:szCs w:val="18"/>
          <w:lang w:val="nl-BE"/>
        </w:rPr>
        <w:t>o</w:t>
      </w:r>
      <w:r w:rsidRPr="003B1CAC">
        <w:rPr>
          <w:rFonts w:ascii="Verdana" w:hAnsi="Verdana" w:cs="Arial"/>
          <w:color w:val="0000FF"/>
          <w:sz w:val="18"/>
          <w:szCs w:val="18"/>
          <w:lang w:val="nl-BE"/>
        </w:rPr>
        <w:t>plossingen</w:t>
      </w:r>
      <w:r w:rsidR="00CB566C" w:rsidRPr="003B1CAC">
        <w:rPr>
          <w:rFonts w:ascii="Verdana" w:hAnsi="Verdana" w:cs="Arial"/>
          <w:color w:val="0000FF"/>
          <w:sz w:val="18"/>
          <w:szCs w:val="18"/>
          <w:lang w:val="nl-BE"/>
        </w:rPr>
        <w:t xml:space="preserve">, suspensies, </w:t>
      </w:r>
      <w:r w:rsidRPr="003B1CAC">
        <w:rPr>
          <w:rFonts w:ascii="Verdana" w:hAnsi="Verdana" w:cs="Arial"/>
          <w:color w:val="0000FF"/>
          <w:sz w:val="18"/>
          <w:szCs w:val="18"/>
          <w:lang w:val="nl-BE"/>
        </w:rPr>
        <w:t>siroop</w:t>
      </w:r>
      <w:r w:rsidR="00CB566C" w:rsidRPr="003B1CAC">
        <w:rPr>
          <w:rFonts w:ascii="Verdana" w:hAnsi="Verdana" w:cs="Arial"/>
          <w:color w:val="0000FF"/>
          <w:sz w:val="18"/>
          <w:szCs w:val="18"/>
          <w:lang w:val="nl-BE"/>
        </w:rPr>
        <w:t xml:space="preserve"> </w:t>
      </w:r>
      <w:r w:rsidR="00AD44BA" w:rsidRPr="003B1CAC">
        <w:rPr>
          <w:rFonts w:ascii="Verdana" w:hAnsi="Verdana" w:cs="Arial"/>
          <w:color w:val="0000FF"/>
          <w:sz w:val="18"/>
          <w:szCs w:val="18"/>
          <w:lang w:val="nl-BE"/>
        </w:rPr>
        <w:t>.</w:t>
      </w:r>
      <w:r w:rsidR="00CB566C" w:rsidRPr="003B1CAC">
        <w:rPr>
          <w:rFonts w:ascii="Verdana" w:hAnsi="Verdana" w:cs="Arial"/>
          <w:color w:val="0000FF"/>
          <w:sz w:val="18"/>
          <w:szCs w:val="18"/>
          <w:lang w:val="nl-BE"/>
        </w:rPr>
        <w:t>..)</w:t>
      </w:r>
      <w:r w:rsidRPr="003B1CAC">
        <w:rPr>
          <w:rFonts w:ascii="Verdana" w:hAnsi="Verdana" w:cs="Arial"/>
          <w:color w:val="0000FF"/>
          <w:sz w:val="18"/>
          <w:szCs w:val="18"/>
          <w:lang w:val="nl-BE"/>
        </w:rPr>
        <w:t xml:space="preserve">, </w:t>
      </w:r>
      <w:r w:rsidR="00F31244" w:rsidRPr="003B1CAC">
        <w:rPr>
          <w:rFonts w:ascii="Verdana" w:hAnsi="Verdana" w:cs="Arial"/>
          <w:color w:val="0000FF"/>
          <w:sz w:val="18"/>
          <w:szCs w:val="18"/>
          <w:lang w:val="nl-BE"/>
        </w:rPr>
        <w:t xml:space="preserve">wordt een pipet aanbevolen </w:t>
      </w:r>
      <w:r w:rsidR="00150325" w:rsidRPr="003B1CAC">
        <w:rPr>
          <w:rFonts w:ascii="Verdana" w:hAnsi="Verdana" w:cs="Arial"/>
          <w:color w:val="0000FF"/>
          <w:sz w:val="18"/>
          <w:szCs w:val="18"/>
          <w:lang w:val="nl-BE"/>
        </w:rPr>
        <w:t>met een onderverdeling die nauwkeurig genoeg is, om de juiste dosis in functie van het lichaamsgewicht te kunnen toedienen</w:t>
      </w:r>
      <w:r w:rsidR="000C3886" w:rsidRPr="003B1CAC">
        <w:rPr>
          <w:rFonts w:ascii="Verdana" w:hAnsi="Verdana" w:cs="Arial"/>
          <w:color w:val="0000FF"/>
          <w:sz w:val="18"/>
          <w:szCs w:val="18"/>
          <w:lang w:val="nl-BE"/>
        </w:rPr>
        <w:t>.</w:t>
      </w:r>
      <w:r w:rsidR="001D3012" w:rsidRPr="007E45D7">
        <w:rPr>
          <w:rFonts w:ascii="Verdana" w:hAnsi="Verdana" w:cs="Arial"/>
          <w:color w:val="0000FF"/>
          <w:sz w:val="18"/>
          <w:szCs w:val="18"/>
          <w:lang w:val="nl-BE"/>
        </w:rPr>
        <w:t>&gt;</w:t>
      </w:r>
    </w:p>
    <w:p w14:paraId="4771D5A7" w14:textId="77777777" w:rsidR="000C3886" w:rsidRPr="003B1CAC" w:rsidRDefault="000C3886" w:rsidP="002B30E8">
      <w:pPr>
        <w:tabs>
          <w:tab w:val="left" w:pos="480"/>
        </w:tabs>
        <w:rPr>
          <w:rFonts w:ascii="Verdana" w:hAnsi="Verdana" w:cs="Arial"/>
          <w:color w:val="0000FF"/>
          <w:sz w:val="18"/>
          <w:szCs w:val="18"/>
          <w:lang w:val="nl-BE"/>
        </w:rPr>
      </w:pPr>
    </w:p>
    <w:p w14:paraId="751E2FF9" w14:textId="6323753F" w:rsidR="002E0A3F" w:rsidRPr="003B1CAC" w:rsidRDefault="002E0A3F" w:rsidP="002B30E8">
      <w:pPr>
        <w:tabs>
          <w:tab w:val="left" w:pos="480"/>
        </w:tabs>
        <w:rPr>
          <w:rFonts w:ascii="Verdana" w:hAnsi="Verdana" w:cs="Arial"/>
          <w:color w:val="0000FF"/>
          <w:sz w:val="18"/>
          <w:szCs w:val="18"/>
          <w:lang w:val="nl-BE"/>
        </w:rPr>
      </w:pPr>
      <w:r w:rsidRPr="003B1CAC">
        <w:rPr>
          <w:rFonts w:ascii="Verdana" w:hAnsi="Verdana" w:cs="Arial"/>
          <w:color w:val="0000FF"/>
          <w:sz w:val="18"/>
          <w:szCs w:val="18"/>
          <w:lang w:val="nl-BE"/>
        </w:rPr>
        <w:t>Volgende t</w:t>
      </w:r>
      <w:r w:rsidR="00A90668" w:rsidRPr="003B1CAC">
        <w:rPr>
          <w:rFonts w:ascii="Verdana" w:hAnsi="Verdana" w:cs="Arial"/>
          <w:color w:val="0000FF"/>
          <w:sz w:val="18"/>
          <w:szCs w:val="18"/>
          <w:lang w:val="nl-BE"/>
        </w:rPr>
        <w:t xml:space="preserve">abel uit “Nelson </w:t>
      </w:r>
      <w:proofErr w:type="spellStart"/>
      <w:r w:rsidR="00A90668" w:rsidRPr="003B1CAC">
        <w:rPr>
          <w:rFonts w:ascii="Verdana" w:hAnsi="Verdana" w:cs="Arial"/>
          <w:color w:val="0000FF"/>
          <w:sz w:val="18"/>
          <w:szCs w:val="18"/>
          <w:lang w:val="nl-BE"/>
        </w:rPr>
        <w:t>textbook</w:t>
      </w:r>
      <w:proofErr w:type="spellEnd"/>
      <w:r w:rsidR="00A90668" w:rsidRPr="003B1CAC">
        <w:rPr>
          <w:rFonts w:ascii="Verdana" w:hAnsi="Verdana" w:cs="Arial"/>
          <w:color w:val="0000FF"/>
          <w:sz w:val="18"/>
          <w:szCs w:val="18"/>
          <w:lang w:val="nl-BE"/>
        </w:rPr>
        <w:t xml:space="preserve"> of </w:t>
      </w:r>
      <w:proofErr w:type="spellStart"/>
      <w:r w:rsidR="00A90668" w:rsidRPr="003B1CAC">
        <w:rPr>
          <w:rFonts w:ascii="Verdana" w:hAnsi="Verdana" w:cs="Arial"/>
          <w:color w:val="0000FF"/>
          <w:sz w:val="18"/>
          <w:szCs w:val="18"/>
          <w:lang w:val="nl-BE"/>
        </w:rPr>
        <w:t>pediatrics</w:t>
      </w:r>
      <w:proofErr w:type="spellEnd"/>
      <w:r w:rsidR="00A90668" w:rsidRPr="003B1CAC">
        <w:rPr>
          <w:rFonts w:ascii="Verdana" w:hAnsi="Verdana" w:cs="Arial"/>
          <w:color w:val="0000FF"/>
          <w:sz w:val="18"/>
          <w:szCs w:val="18"/>
          <w:lang w:val="nl-BE"/>
        </w:rPr>
        <w:t xml:space="preserve">” kan worden </w:t>
      </w:r>
      <w:r w:rsidR="00AD44BA" w:rsidRPr="003B1CAC">
        <w:rPr>
          <w:rFonts w:ascii="Verdana" w:hAnsi="Verdana" w:cs="Arial"/>
          <w:color w:val="0000FF"/>
          <w:sz w:val="18"/>
          <w:szCs w:val="18"/>
          <w:lang w:val="nl-BE"/>
        </w:rPr>
        <w:t xml:space="preserve">gebruikt </w:t>
      </w:r>
      <w:r w:rsidR="00A90668" w:rsidRPr="003B1CAC">
        <w:rPr>
          <w:rFonts w:ascii="Verdana" w:hAnsi="Verdana" w:cs="Arial"/>
          <w:color w:val="0000FF"/>
          <w:sz w:val="18"/>
          <w:szCs w:val="18"/>
          <w:lang w:val="nl-BE"/>
        </w:rPr>
        <w:t>om de doses te verifiëren</w:t>
      </w:r>
      <w:r w:rsidR="00AD44BA" w:rsidRPr="003B1CAC">
        <w:rPr>
          <w:rFonts w:ascii="Verdana" w:hAnsi="Verdana" w:cs="Arial"/>
          <w:color w:val="0000FF"/>
          <w:sz w:val="18"/>
          <w:szCs w:val="18"/>
          <w:lang w:val="nl-BE"/>
        </w:rPr>
        <w:t>.</w:t>
      </w:r>
    </w:p>
    <w:p w14:paraId="3E942B88" w14:textId="77777777" w:rsidR="00731141" w:rsidRPr="003B1CAC" w:rsidRDefault="00731141" w:rsidP="002B30E8">
      <w:pPr>
        <w:tabs>
          <w:tab w:val="left" w:pos="480"/>
        </w:tabs>
        <w:rPr>
          <w:rFonts w:ascii="Verdana" w:hAnsi="Verdana" w:cs="Arial"/>
          <w:color w:val="0000FF"/>
          <w:sz w:val="18"/>
          <w:szCs w:val="18"/>
          <w:lang w:val="nl-B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AD178B" w:rsidRPr="003B1CAC" w14:paraId="5D5CEA3F" w14:textId="77777777" w:rsidTr="0072750B">
        <w:tc>
          <w:tcPr>
            <w:tcW w:w="4817" w:type="dxa"/>
          </w:tcPr>
          <w:p w14:paraId="5556C3B1" w14:textId="77777777" w:rsidR="00AD178B" w:rsidRPr="003B1CAC" w:rsidRDefault="00AD178B" w:rsidP="0072750B">
            <w:pPr>
              <w:tabs>
                <w:tab w:val="left" w:pos="480"/>
              </w:tabs>
              <w:jc w:val="center"/>
              <w:rPr>
                <w:rFonts w:ascii="Verdana" w:hAnsi="Verdana" w:cs="Arial"/>
                <w:b/>
                <w:color w:val="0000FF"/>
                <w:sz w:val="18"/>
                <w:szCs w:val="18"/>
                <w:lang w:val="nl-BE"/>
              </w:rPr>
            </w:pPr>
            <w:r w:rsidRPr="003B1CAC">
              <w:rPr>
                <w:rFonts w:ascii="Verdana" w:hAnsi="Verdana" w:cs="Arial"/>
                <w:b/>
                <w:color w:val="0000FF"/>
                <w:sz w:val="18"/>
                <w:szCs w:val="18"/>
                <w:lang w:val="nl-BE"/>
              </w:rPr>
              <w:t>Leeftijd</w:t>
            </w:r>
          </w:p>
        </w:tc>
        <w:tc>
          <w:tcPr>
            <w:tcW w:w="4817" w:type="dxa"/>
          </w:tcPr>
          <w:p w14:paraId="7C9E3B7B" w14:textId="77777777" w:rsidR="00AD178B" w:rsidRPr="003B1CAC" w:rsidRDefault="00AD178B" w:rsidP="0072750B">
            <w:pPr>
              <w:tabs>
                <w:tab w:val="left" w:pos="480"/>
              </w:tabs>
              <w:jc w:val="center"/>
              <w:rPr>
                <w:rFonts w:ascii="Verdana" w:hAnsi="Verdana" w:cs="Arial"/>
                <w:b/>
                <w:color w:val="0000FF"/>
                <w:sz w:val="18"/>
                <w:szCs w:val="18"/>
                <w:lang w:val="nl-BE"/>
              </w:rPr>
            </w:pPr>
            <w:r w:rsidRPr="003B1CAC">
              <w:rPr>
                <w:rFonts w:ascii="Verdana" w:hAnsi="Verdana" w:cs="Arial"/>
                <w:b/>
                <w:color w:val="0000FF"/>
                <w:sz w:val="18"/>
                <w:szCs w:val="18"/>
                <w:lang w:val="nl-BE"/>
              </w:rPr>
              <w:t>Lichaamsgewicht</w:t>
            </w:r>
          </w:p>
        </w:tc>
      </w:tr>
      <w:tr w:rsidR="00AD178B" w:rsidRPr="003B1CAC" w14:paraId="5C9F9A7D" w14:textId="77777777" w:rsidTr="0072750B">
        <w:tc>
          <w:tcPr>
            <w:tcW w:w="4817" w:type="dxa"/>
          </w:tcPr>
          <w:p w14:paraId="509369CC"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0-3 maand</w:t>
            </w:r>
          </w:p>
        </w:tc>
        <w:tc>
          <w:tcPr>
            <w:tcW w:w="4817" w:type="dxa"/>
          </w:tcPr>
          <w:p w14:paraId="424E9B10"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3-6 kg</w:t>
            </w:r>
          </w:p>
        </w:tc>
      </w:tr>
      <w:tr w:rsidR="00AD178B" w:rsidRPr="003B1CAC" w14:paraId="3D7BFCF9" w14:textId="77777777" w:rsidTr="0072750B">
        <w:tc>
          <w:tcPr>
            <w:tcW w:w="4817" w:type="dxa"/>
          </w:tcPr>
          <w:p w14:paraId="71F699E7"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3-6 maand</w:t>
            </w:r>
          </w:p>
        </w:tc>
        <w:tc>
          <w:tcPr>
            <w:tcW w:w="4817" w:type="dxa"/>
          </w:tcPr>
          <w:p w14:paraId="1C7B33B9"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6-8 kg</w:t>
            </w:r>
          </w:p>
        </w:tc>
      </w:tr>
      <w:tr w:rsidR="00AD178B" w:rsidRPr="003B1CAC" w14:paraId="062D8F2A" w14:textId="77777777" w:rsidTr="0072750B">
        <w:tc>
          <w:tcPr>
            <w:tcW w:w="4817" w:type="dxa"/>
          </w:tcPr>
          <w:p w14:paraId="58A4C235"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6-12 maand</w:t>
            </w:r>
          </w:p>
        </w:tc>
        <w:tc>
          <w:tcPr>
            <w:tcW w:w="4817" w:type="dxa"/>
          </w:tcPr>
          <w:p w14:paraId="43BB5EB8"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8-10 kg</w:t>
            </w:r>
          </w:p>
        </w:tc>
      </w:tr>
      <w:tr w:rsidR="00AD178B" w:rsidRPr="003B1CAC" w14:paraId="0EE4177E" w14:textId="77777777" w:rsidTr="0072750B">
        <w:tc>
          <w:tcPr>
            <w:tcW w:w="4817" w:type="dxa"/>
          </w:tcPr>
          <w:p w14:paraId="1CD9FB54"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12-24 maand</w:t>
            </w:r>
          </w:p>
        </w:tc>
        <w:tc>
          <w:tcPr>
            <w:tcW w:w="4817" w:type="dxa"/>
          </w:tcPr>
          <w:p w14:paraId="718B7A6A"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10-13 kg</w:t>
            </w:r>
          </w:p>
        </w:tc>
      </w:tr>
      <w:tr w:rsidR="00AD178B" w:rsidRPr="003B1CAC" w14:paraId="4BD6ADF7" w14:textId="77777777" w:rsidTr="0072750B">
        <w:tc>
          <w:tcPr>
            <w:tcW w:w="4817" w:type="dxa"/>
          </w:tcPr>
          <w:p w14:paraId="5F65EE4D"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2-4 jaar</w:t>
            </w:r>
          </w:p>
        </w:tc>
        <w:tc>
          <w:tcPr>
            <w:tcW w:w="4817" w:type="dxa"/>
          </w:tcPr>
          <w:p w14:paraId="6473DC48"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13-17 kg</w:t>
            </w:r>
          </w:p>
        </w:tc>
      </w:tr>
      <w:tr w:rsidR="00AD178B" w:rsidRPr="003B1CAC" w14:paraId="3C4794B0" w14:textId="77777777" w:rsidTr="0072750B">
        <w:tc>
          <w:tcPr>
            <w:tcW w:w="4817" w:type="dxa"/>
          </w:tcPr>
          <w:p w14:paraId="05DCC795"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4-7 jaar</w:t>
            </w:r>
          </w:p>
        </w:tc>
        <w:tc>
          <w:tcPr>
            <w:tcW w:w="4817" w:type="dxa"/>
          </w:tcPr>
          <w:p w14:paraId="01E1535C"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17-23 kg</w:t>
            </w:r>
          </w:p>
        </w:tc>
      </w:tr>
      <w:tr w:rsidR="00AD178B" w:rsidRPr="003B1CAC" w14:paraId="401FFE3A" w14:textId="77777777" w:rsidTr="0072750B">
        <w:tc>
          <w:tcPr>
            <w:tcW w:w="4817" w:type="dxa"/>
          </w:tcPr>
          <w:p w14:paraId="211FFA7C"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7-9 jaar</w:t>
            </w:r>
          </w:p>
        </w:tc>
        <w:tc>
          <w:tcPr>
            <w:tcW w:w="4817" w:type="dxa"/>
          </w:tcPr>
          <w:p w14:paraId="62D929A8"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23-28 kg</w:t>
            </w:r>
          </w:p>
        </w:tc>
      </w:tr>
      <w:tr w:rsidR="00AD178B" w:rsidRPr="003B1CAC" w14:paraId="0BE8D0A3" w14:textId="77777777" w:rsidTr="0072750B">
        <w:tc>
          <w:tcPr>
            <w:tcW w:w="4817" w:type="dxa"/>
          </w:tcPr>
          <w:p w14:paraId="2668DC00"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9-12 jaar</w:t>
            </w:r>
          </w:p>
        </w:tc>
        <w:tc>
          <w:tcPr>
            <w:tcW w:w="4817" w:type="dxa"/>
          </w:tcPr>
          <w:p w14:paraId="1FCCB92E" w14:textId="77777777" w:rsidR="00AD178B" w:rsidRPr="003B1CAC" w:rsidRDefault="00AD178B"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28-40 kg</w:t>
            </w:r>
          </w:p>
        </w:tc>
      </w:tr>
      <w:tr w:rsidR="0020506F" w:rsidRPr="003B1CAC" w14:paraId="684D26F0" w14:textId="77777777" w:rsidTr="0072750B">
        <w:tc>
          <w:tcPr>
            <w:tcW w:w="4817" w:type="dxa"/>
          </w:tcPr>
          <w:p w14:paraId="7D98B628" w14:textId="11B1A205" w:rsidR="0020506F" w:rsidRPr="003B1CAC" w:rsidRDefault="0020506F"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12–15 jaar</w:t>
            </w:r>
          </w:p>
        </w:tc>
        <w:tc>
          <w:tcPr>
            <w:tcW w:w="4817" w:type="dxa"/>
          </w:tcPr>
          <w:p w14:paraId="66911E88" w14:textId="77777777" w:rsidR="0020506F" w:rsidRPr="003B1CAC" w:rsidRDefault="0020506F" w:rsidP="0072750B">
            <w:pPr>
              <w:tabs>
                <w:tab w:val="left" w:pos="480"/>
              </w:tabs>
              <w:jc w:val="right"/>
              <w:rPr>
                <w:rFonts w:ascii="Verdana" w:hAnsi="Verdana" w:cs="Arial"/>
                <w:color w:val="0000FF"/>
                <w:sz w:val="18"/>
                <w:szCs w:val="18"/>
                <w:lang w:val="nl-BE"/>
              </w:rPr>
            </w:pPr>
            <w:r w:rsidRPr="003B1CAC">
              <w:rPr>
                <w:rFonts w:ascii="Verdana" w:hAnsi="Verdana" w:cs="Arial"/>
                <w:color w:val="0000FF"/>
                <w:sz w:val="18"/>
                <w:szCs w:val="18"/>
                <w:lang w:val="nl-BE"/>
              </w:rPr>
              <w:t>41-50 kg</w:t>
            </w:r>
          </w:p>
        </w:tc>
      </w:tr>
    </w:tbl>
    <w:p w14:paraId="71D79A07" w14:textId="77777777" w:rsidR="000C3886" w:rsidRPr="003B1CAC" w:rsidRDefault="000C3886" w:rsidP="0072750B">
      <w:pPr>
        <w:tabs>
          <w:tab w:val="left" w:pos="480"/>
        </w:tabs>
        <w:jc w:val="right"/>
        <w:rPr>
          <w:rFonts w:ascii="Verdana" w:hAnsi="Verdana" w:cs="Arial"/>
          <w:color w:val="0000FF"/>
          <w:sz w:val="18"/>
          <w:szCs w:val="18"/>
          <w:lang w:val="nl-BE"/>
        </w:rPr>
      </w:pPr>
    </w:p>
    <w:p w14:paraId="773CE950" w14:textId="3374CCE0" w:rsidR="001528E3" w:rsidRPr="003B1CAC" w:rsidRDefault="000D0196" w:rsidP="002B30E8">
      <w:pPr>
        <w:tabs>
          <w:tab w:val="left" w:pos="480"/>
        </w:tabs>
        <w:rPr>
          <w:rFonts w:ascii="Verdana" w:hAnsi="Verdana" w:cs="Arial"/>
          <w:color w:val="0000FF"/>
          <w:sz w:val="18"/>
          <w:szCs w:val="18"/>
          <w:lang w:val="nl-BE"/>
        </w:rPr>
      </w:pPr>
      <w:r w:rsidRPr="003B1CAC">
        <w:rPr>
          <w:rFonts w:ascii="Verdana" w:hAnsi="Verdana" w:cs="Arial"/>
          <w:color w:val="0000FF"/>
          <w:sz w:val="18"/>
          <w:szCs w:val="18"/>
          <w:lang w:val="nl-BE"/>
        </w:rPr>
        <w:t>&lt;O</w:t>
      </w:r>
      <w:r w:rsidR="00731141" w:rsidRPr="003B1CAC">
        <w:rPr>
          <w:rFonts w:ascii="Verdana" w:hAnsi="Verdana" w:cs="Arial"/>
          <w:color w:val="0000FF"/>
          <w:sz w:val="18"/>
          <w:szCs w:val="18"/>
          <w:lang w:val="nl-BE"/>
        </w:rPr>
        <w:t>ptione</w:t>
      </w:r>
      <w:r w:rsidR="007A301C" w:rsidRPr="003B1CAC">
        <w:rPr>
          <w:rFonts w:ascii="Verdana" w:hAnsi="Verdana" w:cs="Arial"/>
          <w:color w:val="0000FF"/>
          <w:sz w:val="18"/>
          <w:szCs w:val="18"/>
          <w:lang w:val="nl-BE"/>
        </w:rPr>
        <w:t>e</w:t>
      </w:r>
      <w:r w:rsidR="00731141" w:rsidRPr="003B1CAC">
        <w:rPr>
          <w:rFonts w:ascii="Verdana" w:hAnsi="Verdana" w:cs="Arial"/>
          <w:color w:val="0000FF"/>
          <w:sz w:val="18"/>
          <w:szCs w:val="18"/>
          <w:lang w:val="nl-BE"/>
        </w:rPr>
        <w:t>l</w:t>
      </w:r>
      <w:r w:rsidR="006C4FA6" w:rsidRPr="003B1CAC">
        <w:rPr>
          <w:rFonts w:ascii="Verdana" w:hAnsi="Verdana" w:cs="Arial"/>
          <w:color w:val="0000FF"/>
          <w:sz w:val="18"/>
          <w:szCs w:val="18"/>
          <w:lang w:val="nl-BE"/>
        </w:rPr>
        <w:t>:</w:t>
      </w:r>
      <w:r w:rsidRPr="003B1CAC">
        <w:rPr>
          <w:rFonts w:ascii="Verdana" w:hAnsi="Verdana" w:cs="Arial"/>
          <w:color w:val="0000FF"/>
          <w:sz w:val="18"/>
          <w:szCs w:val="18"/>
          <w:lang w:val="nl-BE"/>
        </w:rPr>
        <w:t xml:space="preserve"> </w:t>
      </w:r>
      <w:r w:rsidR="00CF2304" w:rsidRPr="003B1CAC">
        <w:rPr>
          <w:rFonts w:ascii="Verdana" w:hAnsi="Verdana" w:cs="Arial"/>
          <w:color w:val="0000FF"/>
          <w:sz w:val="18"/>
          <w:szCs w:val="18"/>
          <w:lang w:val="nl-BE"/>
        </w:rPr>
        <w:t xml:space="preserve">Voor zuigelingen kan het gebruik van zetpillen worden </w:t>
      </w:r>
      <w:r w:rsidR="002A71CE" w:rsidRPr="003B1CAC">
        <w:rPr>
          <w:rFonts w:ascii="Verdana" w:hAnsi="Verdana" w:cs="Arial"/>
          <w:color w:val="0000FF"/>
          <w:sz w:val="18"/>
          <w:szCs w:val="18"/>
          <w:lang w:val="nl-BE"/>
        </w:rPr>
        <w:t>overwogen wanneer</w:t>
      </w:r>
      <w:r w:rsidR="00CF2304" w:rsidRPr="003B1CAC">
        <w:rPr>
          <w:rFonts w:ascii="Verdana" w:hAnsi="Verdana" w:cs="Arial"/>
          <w:color w:val="0000FF"/>
          <w:sz w:val="18"/>
          <w:szCs w:val="18"/>
          <w:lang w:val="nl-BE"/>
        </w:rPr>
        <w:t xml:space="preserve"> orale toediening niet mogelijk is om klinische redenen</w:t>
      </w:r>
      <w:r w:rsidR="008723C6" w:rsidRPr="003B1CAC">
        <w:rPr>
          <w:rFonts w:ascii="Verdana" w:hAnsi="Verdana" w:cs="Arial"/>
          <w:color w:val="0000FF"/>
          <w:sz w:val="18"/>
          <w:szCs w:val="18"/>
          <w:lang w:val="nl-BE"/>
        </w:rPr>
        <w:t>.</w:t>
      </w:r>
      <w:r w:rsidRPr="003B1CAC">
        <w:rPr>
          <w:rFonts w:ascii="Verdana" w:hAnsi="Verdana" w:cs="Arial"/>
          <w:color w:val="0000FF"/>
          <w:sz w:val="18"/>
          <w:szCs w:val="18"/>
          <w:lang w:val="nl-BE"/>
        </w:rPr>
        <w:t>&gt;</w:t>
      </w:r>
    </w:p>
    <w:p w14:paraId="76CF9C1E" w14:textId="77777777" w:rsidR="001528E3" w:rsidRPr="003B1CAC" w:rsidRDefault="001528E3" w:rsidP="002B30E8">
      <w:pPr>
        <w:tabs>
          <w:tab w:val="left" w:pos="480"/>
        </w:tabs>
        <w:rPr>
          <w:rFonts w:ascii="Verdana" w:hAnsi="Verdana" w:cs="Arial"/>
          <w:color w:val="0000FF"/>
          <w:sz w:val="18"/>
          <w:szCs w:val="18"/>
          <w:lang w:val="nl-BE"/>
        </w:rPr>
      </w:pPr>
    </w:p>
    <w:p w14:paraId="7BD81D2C" w14:textId="36C2E7E9" w:rsidR="00E43DBE" w:rsidRPr="003B1CAC" w:rsidRDefault="000A1F92" w:rsidP="002B30E8">
      <w:pPr>
        <w:pStyle w:val="Paragraphedeliste"/>
        <w:numPr>
          <w:ilvl w:val="0"/>
          <w:numId w:val="32"/>
        </w:numPr>
        <w:ind w:left="284" w:hanging="284"/>
        <w:rPr>
          <w:rFonts w:ascii="Verdana" w:hAnsi="Verdana"/>
          <w:sz w:val="18"/>
          <w:szCs w:val="18"/>
          <w:lang w:val="nl-BE"/>
        </w:rPr>
      </w:pPr>
      <w:r w:rsidRPr="003B1CAC">
        <w:rPr>
          <w:rFonts w:ascii="Verdana" w:hAnsi="Verdana"/>
          <w:sz w:val="18"/>
          <w:szCs w:val="18"/>
          <w:lang w:val="nl-BE"/>
        </w:rPr>
        <w:t>Adolescenten en v</w:t>
      </w:r>
      <w:r w:rsidR="00E43DBE" w:rsidRPr="003B1CAC">
        <w:rPr>
          <w:rFonts w:ascii="Verdana" w:hAnsi="Verdana"/>
          <w:sz w:val="18"/>
          <w:szCs w:val="18"/>
          <w:lang w:val="nl-BE"/>
        </w:rPr>
        <w:t>olwassenen (lichaamsgewicht &gt; 50 kg)</w:t>
      </w:r>
      <w:r w:rsidR="00E43DBE" w:rsidRPr="003B1CAC">
        <w:rPr>
          <w:rFonts w:ascii="Verdana" w:hAnsi="Verdana"/>
          <w:sz w:val="18"/>
          <w:szCs w:val="18"/>
          <w:vertAlign w:val="superscript"/>
          <w:lang w:val="nl-BE"/>
        </w:rPr>
        <w:t>[1</w:t>
      </w:r>
      <w:r w:rsidR="003F6000" w:rsidRPr="003B1CAC">
        <w:rPr>
          <w:rFonts w:ascii="Verdana" w:hAnsi="Verdana"/>
          <w:sz w:val="18"/>
          <w:szCs w:val="18"/>
          <w:vertAlign w:val="superscript"/>
          <w:lang w:val="nl-BE"/>
        </w:rPr>
        <w:t>,5</w:t>
      </w:r>
      <w:r w:rsidR="00E43DBE" w:rsidRPr="003B1CAC">
        <w:rPr>
          <w:rFonts w:ascii="Verdana" w:hAnsi="Verdana"/>
          <w:sz w:val="18"/>
          <w:szCs w:val="18"/>
          <w:vertAlign w:val="superscript"/>
          <w:lang w:val="nl-BE"/>
        </w:rPr>
        <w:t>]</w:t>
      </w:r>
    </w:p>
    <w:p w14:paraId="2CE42010" w14:textId="4C949734" w:rsidR="00E43DBE" w:rsidRPr="003B1CAC" w:rsidRDefault="00E43DBE" w:rsidP="002B30E8">
      <w:pPr>
        <w:tabs>
          <w:tab w:val="left" w:pos="480"/>
        </w:tabs>
        <w:rPr>
          <w:rFonts w:ascii="Verdana" w:hAnsi="Verdana" w:cs="Arial"/>
          <w:sz w:val="18"/>
          <w:szCs w:val="18"/>
          <w:lang w:val="nl-BE"/>
        </w:rPr>
      </w:pPr>
      <w:r w:rsidRPr="003B1CAC">
        <w:rPr>
          <w:rFonts w:ascii="Verdana" w:hAnsi="Verdana" w:cs="Arial"/>
          <w:sz w:val="18"/>
          <w:szCs w:val="18"/>
          <w:lang w:val="nl-BE"/>
        </w:rPr>
        <w:t xml:space="preserve">De gebruikelijke dosis is 500 mg </w:t>
      </w:r>
      <w:r w:rsidR="000527A8" w:rsidRPr="003B1CAC">
        <w:rPr>
          <w:rFonts w:ascii="Verdana" w:hAnsi="Verdana" w:cs="Arial"/>
          <w:sz w:val="18"/>
          <w:szCs w:val="18"/>
          <w:lang w:val="nl-BE"/>
        </w:rPr>
        <w:t>tot</w:t>
      </w:r>
      <w:r w:rsidRPr="003B1CAC">
        <w:rPr>
          <w:rFonts w:ascii="Verdana" w:hAnsi="Verdana" w:cs="Arial"/>
          <w:sz w:val="18"/>
          <w:szCs w:val="18"/>
          <w:lang w:val="nl-BE"/>
        </w:rPr>
        <w:t xml:space="preserve"> 1</w:t>
      </w:r>
      <w:r w:rsidR="00C23CB4" w:rsidRPr="003B1CAC">
        <w:rPr>
          <w:rFonts w:ascii="Verdana" w:hAnsi="Verdana" w:cs="Arial"/>
          <w:sz w:val="18"/>
          <w:szCs w:val="18"/>
          <w:lang w:val="nl-BE"/>
        </w:rPr>
        <w:t xml:space="preserve"> g </w:t>
      </w:r>
      <w:r w:rsidRPr="003B1CAC">
        <w:rPr>
          <w:rFonts w:ascii="Verdana" w:hAnsi="Verdana" w:cs="Arial"/>
          <w:sz w:val="18"/>
          <w:szCs w:val="18"/>
          <w:lang w:val="nl-BE"/>
        </w:rPr>
        <w:t>per keer, zo nodig respectievelijk elke 4 of 6 uur te herhalen, tot 3</w:t>
      </w:r>
      <w:r w:rsidR="00C23CB4" w:rsidRPr="003B1CAC">
        <w:rPr>
          <w:rFonts w:ascii="Verdana" w:hAnsi="Verdana" w:cs="Arial"/>
          <w:sz w:val="18"/>
          <w:szCs w:val="18"/>
          <w:lang w:val="nl-BE"/>
        </w:rPr>
        <w:t xml:space="preserve"> </w:t>
      </w:r>
      <w:r w:rsidRPr="003B1CAC">
        <w:rPr>
          <w:rFonts w:ascii="Verdana" w:hAnsi="Verdana" w:cs="Arial"/>
          <w:sz w:val="18"/>
          <w:szCs w:val="18"/>
          <w:lang w:val="nl-BE"/>
        </w:rPr>
        <w:t>g per dag. In geval van meer intense pijn of koorts, kan de dagdosis worden verhoogd tot 4</w:t>
      </w:r>
      <w:r w:rsidR="00C23CB4" w:rsidRPr="003B1CAC">
        <w:rPr>
          <w:rFonts w:ascii="Verdana" w:hAnsi="Verdana" w:cs="Arial"/>
          <w:sz w:val="18"/>
          <w:szCs w:val="18"/>
          <w:lang w:val="nl-BE"/>
        </w:rPr>
        <w:t xml:space="preserve"> g </w:t>
      </w:r>
      <w:r w:rsidRPr="003B1CAC">
        <w:rPr>
          <w:rFonts w:ascii="Verdana" w:hAnsi="Verdana" w:cs="Arial"/>
          <w:sz w:val="18"/>
          <w:szCs w:val="18"/>
          <w:lang w:val="nl-BE"/>
        </w:rPr>
        <w:t>per dag.</w:t>
      </w:r>
    </w:p>
    <w:p w14:paraId="46AEE20D" w14:textId="77777777" w:rsidR="00E43DBE" w:rsidRPr="003B1CAC" w:rsidRDefault="00E43DBE" w:rsidP="002B30E8">
      <w:pPr>
        <w:tabs>
          <w:tab w:val="left" w:pos="480"/>
        </w:tabs>
        <w:rPr>
          <w:rFonts w:ascii="Verdana" w:hAnsi="Verdana" w:cs="Arial"/>
          <w:sz w:val="18"/>
          <w:szCs w:val="18"/>
          <w:lang w:val="nl-BE"/>
        </w:rPr>
      </w:pPr>
    </w:p>
    <w:p w14:paraId="3E22D734" w14:textId="60458796" w:rsidR="00E43DBE" w:rsidRPr="003B1CAC" w:rsidRDefault="00E43DBE" w:rsidP="002B30E8">
      <w:pPr>
        <w:tabs>
          <w:tab w:val="left" w:pos="480"/>
        </w:tabs>
        <w:rPr>
          <w:rFonts w:ascii="Verdana" w:hAnsi="Verdana" w:cs="Arial"/>
          <w:sz w:val="18"/>
          <w:szCs w:val="18"/>
          <w:lang w:val="nl-BE"/>
        </w:rPr>
      </w:pPr>
      <w:r w:rsidRPr="003B1CAC">
        <w:rPr>
          <w:rFonts w:ascii="Verdana" w:hAnsi="Verdana" w:cs="Arial"/>
          <w:sz w:val="18"/>
          <w:szCs w:val="18"/>
          <w:lang w:val="nl-BE"/>
        </w:rPr>
        <w:t xml:space="preserve">Het toedieningsinterval </w:t>
      </w:r>
      <w:r w:rsidR="000527A8" w:rsidRPr="003B1CAC">
        <w:rPr>
          <w:rFonts w:ascii="Verdana" w:hAnsi="Verdana" w:cs="Arial"/>
          <w:sz w:val="18"/>
          <w:szCs w:val="18"/>
          <w:lang w:val="nl-BE"/>
        </w:rPr>
        <w:t xml:space="preserve">moet </w:t>
      </w:r>
      <w:r w:rsidR="0031552A" w:rsidRPr="003B1CAC">
        <w:rPr>
          <w:rFonts w:ascii="Verdana" w:hAnsi="Verdana" w:cs="Arial"/>
          <w:sz w:val="18"/>
          <w:szCs w:val="18"/>
          <w:lang w:val="nl-BE"/>
        </w:rPr>
        <w:t>minstens</w:t>
      </w:r>
      <w:r w:rsidRPr="003B1CAC">
        <w:rPr>
          <w:rFonts w:ascii="Verdana" w:hAnsi="Verdana" w:cs="Arial"/>
          <w:sz w:val="18"/>
          <w:szCs w:val="18"/>
          <w:lang w:val="nl-BE"/>
        </w:rPr>
        <w:t xml:space="preserve"> 4 uur bedragen. De maximale doses zijn 1</w:t>
      </w:r>
      <w:r w:rsidR="00C23CB4" w:rsidRPr="003B1CAC">
        <w:rPr>
          <w:rFonts w:ascii="Verdana" w:hAnsi="Verdana" w:cs="Arial"/>
          <w:sz w:val="18"/>
          <w:szCs w:val="18"/>
          <w:lang w:val="nl-BE"/>
        </w:rPr>
        <w:t xml:space="preserve"> </w:t>
      </w:r>
      <w:r w:rsidRPr="003B1CAC">
        <w:rPr>
          <w:rFonts w:ascii="Verdana" w:hAnsi="Verdana" w:cs="Arial"/>
          <w:sz w:val="18"/>
          <w:szCs w:val="18"/>
          <w:lang w:val="nl-BE"/>
        </w:rPr>
        <w:t>g per keer en 4</w:t>
      </w:r>
      <w:r w:rsidR="00C23CB4" w:rsidRPr="003B1CAC">
        <w:rPr>
          <w:rFonts w:ascii="Verdana" w:hAnsi="Verdana" w:cs="Arial"/>
          <w:sz w:val="18"/>
          <w:szCs w:val="18"/>
          <w:lang w:val="nl-BE"/>
        </w:rPr>
        <w:t xml:space="preserve"> </w:t>
      </w:r>
      <w:r w:rsidRPr="003B1CAC">
        <w:rPr>
          <w:rFonts w:ascii="Verdana" w:hAnsi="Verdana" w:cs="Arial"/>
          <w:sz w:val="18"/>
          <w:szCs w:val="18"/>
          <w:lang w:val="nl-BE"/>
        </w:rPr>
        <w:t>g per dag.</w:t>
      </w:r>
    </w:p>
    <w:p w14:paraId="59A6AE7F" w14:textId="77777777" w:rsidR="0098765B" w:rsidRPr="003B1CAC" w:rsidRDefault="0098765B" w:rsidP="002B30E8">
      <w:pPr>
        <w:tabs>
          <w:tab w:val="left" w:pos="480"/>
        </w:tabs>
        <w:rPr>
          <w:rFonts w:ascii="Verdana" w:hAnsi="Verdana" w:cs="Arial"/>
          <w:sz w:val="18"/>
          <w:szCs w:val="18"/>
          <w:lang w:val="nl-BE"/>
        </w:rPr>
      </w:pPr>
    </w:p>
    <w:p w14:paraId="6A811859" w14:textId="0655759D" w:rsidR="00E43DBE" w:rsidRPr="003B1CAC" w:rsidRDefault="00E43DBE" w:rsidP="002B30E8">
      <w:pPr>
        <w:pStyle w:val="Paragraphedeliste"/>
        <w:numPr>
          <w:ilvl w:val="0"/>
          <w:numId w:val="32"/>
        </w:numPr>
        <w:ind w:left="284" w:hanging="284"/>
        <w:rPr>
          <w:rFonts w:ascii="Verdana" w:hAnsi="Verdana"/>
          <w:sz w:val="18"/>
          <w:szCs w:val="18"/>
          <w:lang w:val="nl-BE"/>
        </w:rPr>
      </w:pPr>
      <w:r w:rsidRPr="003B1CAC">
        <w:rPr>
          <w:rFonts w:ascii="Verdana" w:hAnsi="Verdana"/>
          <w:sz w:val="18"/>
          <w:szCs w:val="18"/>
          <w:lang w:val="nl-BE"/>
        </w:rPr>
        <w:t>Voor volwassenen die minder dan 50 kg wegen, is de maximal</w:t>
      </w:r>
      <w:r w:rsidR="00E42493" w:rsidRPr="003B1CAC">
        <w:rPr>
          <w:rFonts w:ascii="Verdana" w:hAnsi="Verdana"/>
          <w:sz w:val="18"/>
          <w:szCs w:val="18"/>
          <w:lang w:val="nl-BE"/>
        </w:rPr>
        <w:t>e dagdosis 60 mg/kg/dag</w:t>
      </w:r>
      <w:r w:rsidR="00E42493" w:rsidRPr="003B1CAC">
        <w:rPr>
          <w:rFonts w:ascii="Verdana" w:hAnsi="Verdana"/>
          <w:sz w:val="18"/>
          <w:szCs w:val="18"/>
          <w:vertAlign w:val="superscript"/>
          <w:lang w:val="nl-BE"/>
        </w:rPr>
        <w:t>[3]</w:t>
      </w:r>
      <w:r w:rsidR="00E42493" w:rsidRPr="003B1CAC">
        <w:rPr>
          <w:rFonts w:ascii="Verdana" w:hAnsi="Verdana"/>
          <w:sz w:val="18"/>
          <w:szCs w:val="18"/>
          <w:lang w:val="nl-BE"/>
        </w:rPr>
        <w:t>.</w:t>
      </w:r>
    </w:p>
    <w:p w14:paraId="759002D8" w14:textId="77777777" w:rsidR="00E42493" w:rsidRPr="003B1CAC" w:rsidRDefault="00E42493" w:rsidP="002B30E8">
      <w:pPr>
        <w:tabs>
          <w:tab w:val="left" w:pos="480"/>
        </w:tabs>
        <w:rPr>
          <w:rFonts w:ascii="Verdana" w:hAnsi="Verdana" w:cs="Arial"/>
          <w:sz w:val="18"/>
          <w:szCs w:val="18"/>
          <w:lang w:val="nl-BE"/>
        </w:rPr>
      </w:pPr>
    </w:p>
    <w:p w14:paraId="30CA039E" w14:textId="178DAF60" w:rsidR="001B5EAF" w:rsidRPr="003B1CAC" w:rsidRDefault="004E5343" w:rsidP="002B30E8">
      <w:pPr>
        <w:pStyle w:val="Paragraphedeliste"/>
        <w:numPr>
          <w:ilvl w:val="0"/>
          <w:numId w:val="32"/>
        </w:numPr>
        <w:ind w:left="284" w:hanging="284"/>
        <w:rPr>
          <w:rFonts w:ascii="Verdana" w:hAnsi="Verdana"/>
          <w:sz w:val="18"/>
          <w:szCs w:val="18"/>
          <w:lang w:val="nl-BE"/>
        </w:rPr>
      </w:pPr>
      <w:r w:rsidRPr="003B1CAC">
        <w:rPr>
          <w:rFonts w:ascii="Verdana" w:hAnsi="Verdana"/>
          <w:sz w:val="18"/>
          <w:szCs w:val="18"/>
          <w:lang w:val="nl-BE"/>
        </w:rPr>
        <w:t>Verminderde leverfunctie</w:t>
      </w:r>
      <w:r w:rsidR="00B874D0" w:rsidRPr="003B1CAC">
        <w:rPr>
          <w:rFonts w:ascii="Verdana" w:hAnsi="Verdana"/>
          <w:sz w:val="18"/>
          <w:szCs w:val="18"/>
          <w:lang w:val="nl-BE"/>
        </w:rPr>
        <w:t xml:space="preserve">, </w:t>
      </w:r>
      <w:r w:rsidR="004C4024" w:rsidRPr="003B1CAC">
        <w:rPr>
          <w:rFonts w:ascii="Verdana" w:hAnsi="Verdana"/>
          <w:sz w:val="18"/>
          <w:szCs w:val="18"/>
          <w:lang w:val="nl-BE"/>
        </w:rPr>
        <w:t>chronisch alcoholgebruik</w:t>
      </w:r>
      <w:r w:rsidR="001B5EAF" w:rsidRPr="003B1CAC">
        <w:rPr>
          <w:rFonts w:ascii="Verdana" w:hAnsi="Verdana"/>
          <w:sz w:val="18"/>
          <w:szCs w:val="18"/>
          <w:vertAlign w:val="superscript"/>
          <w:lang w:val="nl-BE"/>
        </w:rPr>
        <w:t>[2</w:t>
      </w:r>
      <w:r w:rsidR="002F4446" w:rsidRPr="003B1CAC">
        <w:rPr>
          <w:rFonts w:ascii="Verdana" w:hAnsi="Verdana"/>
          <w:sz w:val="18"/>
          <w:szCs w:val="18"/>
          <w:vertAlign w:val="superscript"/>
          <w:lang w:val="nl-BE"/>
        </w:rPr>
        <w:t>,</w:t>
      </w:r>
      <w:r w:rsidR="00A90668" w:rsidRPr="003B1CAC">
        <w:rPr>
          <w:rFonts w:ascii="Verdana" w:hAnsi="Verdana"/>
          <w:sz w:val="18"/>
          <w:szCs w:val="18"/>
          <w:vertAlign w:val="superscript"/>
          <w:lang w:val="nl-BE"/>
        </w:rPr>
        <w:t>3</w:t>
      </w:r>
      <w:r w:rsidR="001B5EAF" w:rsidRPr="003B1CAC">
        <w:rPr>
          <w:rFonts w:ascii="Verdana" w:hAnsi="Verdana"/>
          <w:sz w:val="18"/>
          <w:szCs w:val="18"/>
          <w:vertAlign w:val="superscript"/>
          <w:lang w:val="nl-BE"/>
        </w:rPr>
        <w:t>]</w:t>
      </w:r>
    </w:p>
    <w:p w14:paraId="50F994A5" w14:textId="211E7C50" w:rsidR="00AC53FD" w:rsidRPr="003B1CAC" w:rsidRDefault="000F60B2" w:rsidP="002B30E8">
      <w:pPr>
        <w:tabs>
          <w:tab w:val="left" w:pos="480"/>
        </w:tabs>
        <w:rPr>
          <w:rFonts w:ascii="Verdana" w:hAnsi="Verdana" w:cs="Arial"/>
          <w:sz w:val="18"/>
          <w:szCs w:val="18"/>
          <w:lang w:val="nl-BE"/>
        </w:rPr>
      </w:pPr>
      <w:r w:rsidRPr="003B1CAC">
        <w:rPr>
          <w:rFonts w:ascii="Verdana" w:hAnsi="Verdana" w:cs="Arial"/>
          <w:sz w:val="18"/>
          <w:szCs w:val="18"/>
          <w:lang w:val="nl-BE"/>
        </w:rPr>
        <w:t xml:space="preserve">Bij patiënten met een </w:t>
      </w:r>
      <w:r w:rsidR="00AF246D" w:rsidRPr="003B1CAC">
        <w:rPr>
          <w:rFonts w:ascii="Verdana" w:hAnsi="Verdana" w:cs="Arial"/>
          <w:sz w:val="18"/>
          <w:szCs w:val="18"/>
          <w:lang w:val="nl-BE"/>
        </w:rPr>
        <w:t>verminderde</w:t>
      </w:r>
      <w:r w:rsidRPr="003B1CAC">
        <w:rPr>
          <w:rFonts w:ascii="Verdana" w:hAnsi="Verdana" w:cs="Arial"/>
          <w:sz w:val="18"/>
          <w:szCs w:val="18"/>
          <w:lang w:val="nl-BE"/>
        </w:rPr>
        <w:t xml:space="preserve"> leverfunctie moet de dosis worden verminderd of het doseringsinterval </w:t>
      </w:r>
      <w:r w:rsidR="0081791A" w:rsidRPr="003B1CAC">
        <w:rPr>
          <w:rFonts w:ascii="Verdana" w:hAnsi="Verdana" w:cs="Arial"/>
          <w:sz w:val="18"/>
          <w:szCs w:val="18"/>
          <w:lang w:val="nl-BE"/>
        </w:rPr>
        <w:t>worden verlengd</w:t>
      </w:r>
      <w:r w:rsidR="008A598D" w:rsidRPr="003B1CAC">
        <w:rPr>
          <w:rFonts w:ascii="Verdana" w:hAnsi="Verdana" w:cs="Arial"/>
          <w:sz w:val="18"/>
          <w:szCs w:val="18"/>
          <w:lang w:val="nl-BE"/>
        </w:rPr>
        <w:t>.</w:t>
      </w:r>
    </w:p>
    <w:p w14:paraId="11C86C64" w14:textId="77777777" w:rsidR="005C7130" w:rsidRPr="003B1CAC" w:rsidRDefault="005C7130" w:rsidP="002B30E8">
      <w:pPr>
        <w:tabs>
          <w:tab w:val="left" w:pos="480"/>
        </w:tabs>
        <w:rPr>
          <w:rFonts w:ascii="Verdana" w:hAnsi="Verdana" w:cs="Arial"/>
          <w:sz w:val="18"/>
          <w:szCs w:val="18"/>
          <w:lang w:val="nl-BE"/>
        </w:rPr>
      </w:pPr>
    </w:p>
    <w:p w14:paraId="50F2E1C3" w14:textId="77777777" w:rsidR="008A598D" w:rsidRPr="003B1CAC" w:rsidRDefault="008A598D" w:rsidP="002B30E8">
      <w:pPr>
        <w:tabs>
          <w:tab w:val="left" w:pos="480"/>
        </w:tabs>
        <w:rPr>
          <w:rFonts w:ascii="Verdana" w:hAnsi="Verdana" w:cs="Arial"/>
          <w:sz w:val="18"/>
          <w:szCs w:val="18"/>
          <w:lang w:val="nl-BE"/>
        </w:rPr>
      </w:pPr>
      <w:r w:rsidRPr="003B1CAC">
        <w:rPr>
          <w:rFonts w:ascii="Verdana" w:hAnsi="Verdana" w:cs="Arial"/>
          <w:sz w:val="18"/>
          <w:szCs w:val="18"/>
          <w:lang w:val="nl-BE"/>
        </w:rPr>
        <w:t>De dagelijkse</w:t>
      </w:r>
      <w:r w:rsidR="006C02A9" w:rsidRPr="003B1CAC">
        <w:rPr>
          <w:rFonts w:ascii="Verdana" w:hAnsi="Verdana" w:cs="Arial"/>
          <w:sz w:val="18"/>
          <w:szCs w:val="18"/>
          <w:lang w:val="nl-BE"/>
        </w:rPr>
        <w:t xml:space="preserve"> </w:t>
      </w:r>
      <w:r w:rsidRPr="003B1CAC">
        <w:rPr>
          <w:rFonts w:ascii="Verdana" w:hAnsi="Verdana" w:cs="Arial"/>
          <w:sz w:val="18"/>
          <w:szCs w:val="18"/>
          <w:lang w:val="nl-BE"/>
        </w:rPr>
        <w:t xml:space="preserve">dosis mag niet </w:t>
      </w:r>
      <w:r w:rsidR="006C02A9" w:rsidRPr="003B1CAC">
        <w:rPr>
          <w:rFonts w:ascii="Verdana" w:hAnsi="Verdana" w:cs="Arial"/>
          <w:sz w:val="18"/>
          <w:szCs w:val="18"/>
          <w:lang w:val="nl-BE"/>
        </w:rPr>
        <w:t>hoger zijn</w:t>
      </w:r>
      <w:r w:rsidRPr="003B1CAC">
        <w:rPr>
          <w:rFonts w:ascii="Verdana" w:hAnsi="Verdana" w:cs="Arial"/>
          <w:sz w:val="18"/>
          <w:szCs w:val="18"/>
          <w:lang w:val="nl-BE"/>
        </w:rPr>
        <w:t xml:space="preserve"> dan 2</w:t>
      </w:r>
      <w:r w:rsidR="00C23CB4" w:rsidRPr="003B1CAC">
        <w:rPr>
          <w:rFonts w:ascii="Verdana" w:hAnsi="Verdana" w:cs="Arial"/>
          <w:sz w:val="18"/>
          <w:szCs w:val="18"/>
          <w:lang w:val="nl-BE"/>
        </w:rPr>
        <w:t xml:space="preserve"> </w:t>
      </w:r>
      <w:r w:rsidRPr="003B1CAC">
        <w:rPr>
          <w:rFonts w:ascii="Verdana" w:hAnsi="Verdana" w:cs="Arial"/>
          <w:sz w:val="18"/>
          <w:szCs w:val="18"/>
          <w:lang w:val="nl-BE"/>
        </w:rPr>
        <w:t>g in de volgende situaties:</w:t>
      </w:r>
    </w:p>
    <w:p w14:paraId="10CBE0D7" w14:textId="77777777" w:rsidR="0081791A" w:rsidRPr="003B1CAC" w:rsidRDefault="0081791A" w:rsidP="002B30E8">
      <w:pPr>
        <w:tabs>
          <w:tab w:val="left" w:pos="480"/>
        </w:tabs>
        <w:rPr>
          <w:rFonts w:ascii="Verdana" w:hAnsi="Verdana" w:cs="Arial"/>
          <w:sz w:val="18"/>
          <w:szCs w:val="18"/>
          <w:lang w:val="nl-BE"/>
        </w:rPr>
      </w:pPr>
    </w:p>
    <w:p w14:paraId="787D5A44" w14:textId="269A6A71" w:rsidR="008A598D" w:rsidRPr="003B1CAC" w:rsidRDefault="0081791A" w:rsidP="002B30E8">
      <w:pPr>
        <w:numPr>
          <w:ilvl w:val="0"/>
          <w:numId w:val="8"/>
        </w:numPr>
        <w:tabs>
          <w:tab w:val="left" w:pos="480"/>
        </w:tabs>
        <w:rPr>
          <w:rFonts w:ascii="Verdana" w:hAnsi="Verdana" w:cs="Arial"/>
          <w:sz w:val="18"/>
          <w:szCs w:val="18"/>
          <w:lang w:val="nl-BE"/>
        </w:rPr>
      </w:pPr>
      <w:r w:rsidRPr="003B1CAC">
        <w:rPr>
          <w:rFonts w:ascii="Verdana" w:hAnsi="Verdana" w:cs="Arial"/>
          <w:sz w:val="18"/>
          <w:szCs w:val="18"/>
          <w:lang w:val="nl-BE"/>
        </w:rPr>
        <w:t>l</w:t>
      </w:r>
      <w:r w:rsidR="008A598D" w:rsidRPr="003B1CAC">
        <w:rPr>
          <w:rFonts w:ascii="Verdana" w:hAnsi="Verdana" w:cs="Arial"/>
          <w:sz w:val="18"/>
          <w:szCs w:val="18"/>
          <w:lang w:val="nl-BE"/>
        </w:rPr>
        <w:t>everinsufficiëntie</w:t>
      </w:r>
      <w:r w:rsidRPr="003B1CAC">
        <w:rPr>
          <w:rFonts w:ascii="Verdana" w:hAnsi="Verdana" w:cs="Arial"/>
          <w:sz w:val="18"/>
          <w:szCs w:val="18"/>
          <w:lang w:val="nl-BE"/>
        </w:rPr>
        <w:t>,</w:t>
      </w:r>
    </w:p>
    <w:p w14:paraId="7BFCCB73" w14:textId="77777777" w:rsidR="008A598D" w:rsidRPr="003B1CAC" w:rsidRDefault="00802B15" w:rsidP="002B30E8">
      <w:pPr>
        <w:numPr>
          <w:ilvl w:val="0"/>
          <w:numId w:val="8"/>
        </w:numPr>
        <w:tabs>
          <w:tab w:val="left" w:pos="480"/>
        </w:tabs>
        <w:rPr>
          <w:rFonts w:ascii="Verdana" w:hAnsi="Verdana" w:cs="Arial"/>
          <w:sz w:val="18"/>
          <w:szCs w:val="18"/>
          <w:lang w:val="nl-BE"/>
        </w:rPr>
      </w:pPr>
      <w:r w:rsidRPr="003B1CAC">
        <w:rPr>
          <w:rFonts w:ascii="Verdana" w:hAnsi="Verdana" w:cs="Arial"/>
          <w:sz w:val="18"/>
          <w:szCs w:val="18"/>
          <w:lang w:val="nl-BE"/>
        </w:rPr>
        <w:t xml:space="preserve">Syndroom van </w:t>
      </w:r>
      <w:r w:rsidR="008A598D" w:rsidRPr="003B1CAC">
        <w:rPr>
          <w:rFonts w:ascii="Verdana" w:hAnsi="Verdana" w:cs="Arial"/>
          <w:sz w:val="18"/>
          <w:szCs w:val="18"/>
          <w:lang w:val="nl-BE"/>
        </w:rPr>
        <w:t>Gilbert</w:t>
      </w:r>
      <w:r w:rsidRPr="003B1CAC">
        <w:rPr>
          <w:rFonts w:ascii="Verdana" w:hAnsi="Verdana" w:cs="Arial"/>
          <w:sz w:val="18"/>
          <w:szCs w:val="18"/>
          <w:lang w:val="nl-BE"/>
        </w:rPr>
        <w:t xml:space="preserve"> </w:t>
      </w:r>
      <w:r w:rsidR="008A598D" w:rsidRPr="003B1CAC">
        <w:rPr>
          <w:rFonts w:ascii="Verdana" w:hAnsi="Verdana" w:cs="Arial"/>
          <w:sz w:val="18"/>
          <w:szCs w:val="18"/>
          <w:lang w:val="nl-BE"/>
        </w:rPr>
        <w:t>(familiale niet-hemolytische geelzucht)</w:t>
      </w:r>
      <w:r w:rsidR="0081791A" w:rsidRPr="003B1CAC">
        <w:rPr>
          <w:rFonts w:ascii="Verdana" w:hAnsi="Verdana" w:cs="Arial"/>
          <w:sz w:val="18"/>
          <w:szCs w:val="18"/>
          <w:lang w:val="nl-BE"/>
        </w:rPr>
        <w:t>,</w:t>
      </w:r>
    </w:p>
    <w:p w14:paraId="2C15F895" w14:textId="0CF22F05" w:rsidR="00D44004" w:rsidRPr="003B1CAC" w:rsidRDefault="0081791A" w:rsidP="002B30E8">
      <w:pPr>
        <w:numPr>
          <w:ilvl w:val="0"/>
          <w:numId w:val="8"/>
        </w:numPr>
        <w:tabs>
          <w:tab w:val="left" w:pos="480"/>
        </w:tabs>
        <w:rPr>
          <w:rFonts w:ascii="Verdana" w:hAnsi="Verdana" w:cs="Arial"/>
          <w:sz w:val="18"/>
          <w:szCs w:val="18"/>
          <w:lang w:val="nl-BE"/>
        </w:rPr>
      </w:pPr>
      <w:r w:rsidRPr="003B1CAC">
        <w:rPr>
          <w:rFonts w:ascii="Verdana" w:hAnsi="Verdana" w:cs="Arial"/>
          <w:sz w:val="18"/>
          <w:szCs w:val="18"/>
          <w:lang w:val="nl-BE"/>
        </w:rPr>
        <w:t>c</w:t>
      </w:r>
      <w:r w:rsidR="008A598D" w:rsidRPr="003B1CAC">
        <w:rPr>
          <w:rFonts w:ascii="Verdana" w:hAnsi="Verdana" w:cs="Arial"/>
          <w:sz w:val="18"/>
          <w:szCs w:val="18"/>
          <w:lang w:val="nl-BE"/>
        </w:rPr>
        <w:t xml:space="preserve">hronisch </w:t>
      </w:r>
      <w:r w:rsidR="007C4431" w:rsidRPr="003B1CAC">
        <w:rPr>
          <w:rFonts w:ascii="Verdana" w:hAnsi="Verdana" w:cs="Arial"/>
          <w:sz w:val="18"/>
          <w:szCs w:val="18"/>
          <w:lang w:val="nl-BE"/>
        </w:rPr>
        <w:t>alcoholgebruik</w:t>
      </w:r>
      <w:r w:rsidRPr="003B1CAC">
        <w:rPr>
          <w:rFonts w:ascii="Verdana" w:hAnsi="Verdana" w:cs="Arial"/>
          <w:sz w:val="18"/>
          <w:szCs w:val="18"/>
          <w:lang w:val="nl-BE"/>
        </w:rPr>
        <w:t>.</w:t>
      </w:r>
    </w:p>
    <w:p w14:paraId="61EE4511" w14:textId="77777777" w:rsidR="00D44004" w:rsidRPr="003B1CAC" w:rsidRDefault="00D44004" w:rsidP="002B30E8">
      <w:pPr>
        <w:tabs>
          <w:tab w:val="left" w:pos="480"/>
        </w:tabs>
        <w:rPr>
          <w:rFonts w:ascii="Verdana" w:hAnsi="Verdana" w:cs="Arial"/>
          <w:sz w:val="18"/>
          <w:szCs w:val="18"/>
          <w:u w:val="single"/>
          <w:lang w:val="nl-BE"/>
        </w:rPr>
      </w:pPr>
    </w:p>
    <w:p w14:paraId="0CDC8E52" w14:textId="42028E9C" w:rsidR="00EB0F81" w:rsidRPr="003B1CAC" w:rsidRDefault="00EB0F81" w:rsidP="002B30E8">
      <w:pPr>
        <w:pStyle w:val="Paragraphedeliste"/>
        <w:numPr>
          <w:ilvl w:val="0"/>
          <w:numId w:val="32"/>
        </w:numPr>
        <w:ind w:left="284" w:hanging="284"/>
        <w:rPr>
          <w:rFonts w:ascii="Verdana" w:hAnsi="Verdana"/>
          <w:sz w:val="18"/>
          <w:szCs w:val="18"/>
          <w:lang w:val="nl-BE"/>
        </w:rPr>
      </w:pPr>
      <w:r w:rsidRPr="003B1CAC">
        <w:rPr>
          <w:rFonts w:ascii="Verdana" w:hAnsi="Verdana"/>
          <w:sz w:val="18"/>
          <w:szCs w:val="18"/>
          <w:lang w:val="nl-BE"/>
        </w:rPr>
        <w:lastRenderedPageBreak/>
        <w:t>Nierinsufficiëntie</w:t>
      </w:r>
      <w:r w:rsidR="00D84B0A" w:rsidRPr="003B1CAC">
        <w:rPr>
          <w:rFonts w:ascii="Verdana" w:hAnsi="Verdana"/>
          <w:sz w:val="18"/>
          <w:szCs w:val="18"/>
          <w:vertAlign w:val="superscript"/>
          <w:lang w:val="nl-BE"/>
        </w:rPr>
        <w:t>[2]</w:t>
      </w:r>
    </w:p>
    <w:p w14:paraId="044C9DE9" w14:textId="007246A1" w:rsidR="00D84B0A" w:rsidRPr="003B1CAC" w:rsidRDefault="00EB0F81" w:rsidP="002B30E8">
      <w:pPr>
        <w:tabs>
          <w:tab w:val="left" w:pos="480"/>
        </w:tabs>
        <w:rPr>
          <w:rFonts w:ascii="Verdana" w:hAnsi="Verdana" w:cs="Arial"/>
          <w:sz w:val="18"/>
          <w:szCs w:val="18"/>
          <w:lang w:val="nl-BE"/>
        </w:rPr>
      </w:pPr>
      <w:r w:rsidRPr="003B1CAC">
        <w:rPr>
          <w:rFonts w:ascii="Verdana" w:hAnsi="Verdana" w:cs="Arial"/>
          <w:sz w:val="18"/>
          <w:szCs w:val="18"/>
          <w:lang w:val="nl-BE"/>
        </w:rPr>
        <w:t xml:space="preserve">In geval van </w:t>
      </w:r>
      <w:r w:rsidR="00C33F15" w:rsidRPr="003B1CAC">
        <w:rPr>
          <w:rFonts w:ascii="Verdana" w:hAnsi="Verdana" w:cs="Arial"/>
          <w:sz w:val="18"/>
          <w:szCs w:val="18"/>
          <w:lang w:val="nl-BE"/>
        </w:rPr>
        <w:t xml:space="preserve">matige en ernstige </w:t>
      </w:r>
      <w:r w:rsidRPr="003B1CAC">
        <w:rPr>
          <w:rFonts w:ascii="Verdana" w:hAnsi="Verdana" w:cs="Arial"/>
          <w:sz w:val="18"/>
          <w:szCs w:val="18"/>
          <w:lang w:val="nl-BE"/>
        </w:rPr>
        <w:t>nierinsufficiëntie moet de dosis worden</w:t>
      </w:r>
      <w:r w:rsidR="0078459B" w:rsidRPr="003B1CAC">
        <w:rPr>
          <w:rFonts w:ascii="Verdana" w:hAnsi="Verdana" w:cs="Arial"/>
          <w:sz w:val="18"/>
          <w:szCs w:val="18"/>
          <w:lang w:val="nl-BE"/>
        </w:rPr>
        <w:t xml:space="preserve"> verminderd.</w:t>
      </w:r>
    </w:p>
    <w:p w14:paraId="0A529704" w14:textId="77777777" w:rsidR="00D84B0A" w:rsidRPr="003B1CAC" w:rsidRDefault="00D84B0A" w:rsidP="002B30E8">
      <w:pPr>
        <w:tabs>
          <w:tab w:val="left" w:pos="480"/>
        </w:tabs>
        <w:rPr>
          <w:rFonts w:ascii="Verdana" w:hAnsi="Verdana" w:cs="Arial"/>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890"/>
      </w:tblGrid>
      <w:tr w:rsidR="00D84B0A" w:rsidRPr="003B1CAC" w14:paraId="09D05B9D" w14:textId="77777777" w:rsidTr="00A17FB0">
        <w:trPr>
          <w:trHeight w:val="363"/>
        </w:trPr>
        <w:tc>
          <w:tcPr>
            <w:tcW w:w="0" w:type="auto"/>
          </w:tcPr>
          <w:p w14:paraId="1D781DBE" w14:textId="2AC534C3" w:rsidR="00D84B0A" w:rsidRPr="003B1CAC" w:rsidRDefault="00D84B0A" w:rsidP="008D6E3C">
            <w:pPr>
              <w:jc w:val="center"/>
              <w:rPr>
                <w:rFonts w:ascii="Verdana" w:hAnsi="Verdana" w:cs="Tahoma"/>
                <w:sz w:val="18"/>
                <w:szCs w:val="18"/>
                <w:lang w:val="nl-BE"/>
              </w:rPr>
            </w:pPr>
            <w:r w:rsidRPr="003B1CAC">
              <w:rPr>
                <w:rFonts w:ascii="Verdana" w:hAnsi="Verdana" w:cs="Tahoma"/>
                <w:sz w:val="18"/>
                <w:szCs w:val="18"/>
                <w:lang w:val="nl-BE" w:eastAsia="en-US"/>
              </w:rPr>
              <w:t>Glomerulaire filtratie</w:t>
            </w:r>
          </w:p>
        </w:tc>
        <w:tc>
          <w:tcPr>
            <w:tcW w:w="0" w:type="auto"/>
          </w:tcPr>
          <w:p w14:paraId="2419B8B9" w14:textId="77777777" w:rsidR="00D84B0A" w:rsidRPr="003B1CAC" w:rsidRDefault="00D84B0A" w:rsidP="008D6E3C">
            <w:pPr>
              <w:jc w:val="center"/>
              <w:rPr>
                <w:rFonts w:ascii="Verdana" w:hAnsi="Verdana" w:cs="Tahoma"/>
                <w:sz w:val="18"/>
                <w:szCs w:val="18"/>
                <w:lang w:val="nl-BE"/>
              </w:rPr>
            </w:pPr>
            <w:r w:rsidRPr="003B1CAC">
              <w:rPr>
                <w:rFonts w:ascii="Verdana" w:hAnsi="Verdana" w:cs="Tahoma"/>
                <w:sz w:val="18"/>
                <w:szCs w:val="18"/>
                <w:lang w:val="nl-BE" w:eastAsia="en-US"/>
              </w:rPr>
              <w:t>Dosis</w:t>
            </w:r>
          </w:p>
        </w:tc>
      </w:tr>
      <w:tr w:rsidR="00D84B0A" w:rsidRPr="003B1CAC" w14:paraId="7E5C2910" w14:textId="77777777" w:rsidTr="00A17FB0">
        <w:tc>
          <w:tcPr>
            <w:tcW w:w="0" w:type="auto"/>
          </w:tcPr>
          <w:p w14:paraId="195757AD" w14:textId="77777777" w:rsidR="00D84B0A" w:rsidRPr="003B1CAC" w:rsidRDefault="00D84B0A" w:rsidP="008D6E3C">
            <w:pPr>
              <w:jc w:val="right"/>
              <w:rPr>
                <w:rFonts w:ascii="Verdana" w:hAnsi="Verdana" w:cs="Tahoma"/>
                <w:sz w:val="18"/>
                <w:szCs w:val="18"/>
                <w:lang w:val="nl-BE"/>
              </w:rPr>
            </w:pPr>
            <w:r w:rsidRPr="003B1CAC">
              <w:rPr>
                <w:rFonts w:ascii="Verdana" w:hAnsi="Verdana" w:cs="Tahoma"/>
                <w:sz w:val="18"/>
                <w:szCs w:val="18"/>
                <w:lang w:val="nl-BE" w:eastAsia="en-US"/>
              </w:rPr>
              <w:t xml:space="preserve">10 – 50 </w:t>
            </w:r>
            <w:proofErr w:type="spellStart"/>
            <w:r w:rsidRPr="003B1CAC">
              <w:rPr>
                <w:rFonts w:ascii="Verdana" w:hAnsi="Verdana" w:cs="Tahoma"/>
                <w:sz w:val="18"/>
                <w:szCs w:val="18"/>
                <w:lang w:val="nl-BE" w:eastAsia="en-US"/>
              </w:rPr>
              <w:t>mL</w:t>
            </w:r>
            <w:proofErr w:type="spellEnd"/>
            <w:r w:rsidRPr="003B1CAC">
              <w:rPr>
                <w:rFonts w:ascii="Verdana" w:hAnsi="Verdana" w:cs="Tahoma"/>
                <w:sz w:val="18"/>
                <w:szCs w:val="18"/>
                <w:lang w:val="nl-BE" w:eastAsia="en-US"/>
              </w:rPr>
              <w:t xml:space="preserve">/min </w:t>
            </w:r>
          </w:p>
        </w:tc>
        <w:tc>
          <w:tcPr>
            <w:tcW w:w="0" w:type="auto"/>
          </w:tcPr>
          <w:p w14:paraId="46CB3FD2" w14:textId="77777777" w:rsidR="00D84B0A" w:rsidRPr="003B1CAC" w:rsidRDefault="00D84B0A" w:rsidP="008D6E3C">
            <w:pPr>
              <w:jc w:val="right"/>
              <w:rPr>
                <w:rFonts w:ascii="Verdana" w:hAnsi="Verdana" w:cs="Tahoma"/>
                <w:sz w:val="18"/>
                <w:szCs w:val="18"/>
                <w:lang w:val="nl-BE"/>
              </w:rPr>
            </w:pPr>
            <w:r w:rsidRPr="003B1CAC">
              <w:rPr>
                <w:rFonts w:ascii="Verdana" w:hAnsi="Verdana" w:cs="Tahoma"/>
                <w:sz w:val="18"/>
                <w:szCs w:val="18"/>
                <w:lang w:val="nl-BE" w:eastAsia="en-US"/>
              </w:rPr>
              <w:t>500 mg elke 6 uur</w:t>
            </w:r>
          </w:p>
        </w:tc>
      </w:tr>
      <w:tr w:rsidR="00D84B0A" w:rsidRPr="003B1CAC" w14:paraId="1AB37C79" w14:textId="77777777" w:rsidTr="00A17FB0">
        <w:tc>
          <w:tcPr>
            <w:tcW w:w="0" w:type="auto"/>
          </w:tcPr>
          <w:p w14:paraId="30A0397C" w14:textId="77777777" w:rsidR="00D84B0A" w:rsidRPr="003B1CAC" w:rsidRDefault="00D84B0A" w:rsidP="008D6E3C">
            <w:pPr>
              <w:jc w:val="right"/>
              <w:rPr>
                <w:rFonts w:ascii="Verdana" w:hAnsi="Verdana" w:cs="Tahoma"/>
                <w:sz w:val="18"/>
                <w:szCs w:val="18"/>
                <w:lang w:val="nl-BE"/>
              </w:rPr>
            </w:pPr>
            <w:r w:rsidRPr="003B1CAC">
              <w:rPr>
                <w:rFonts w:ascii="Verdana" w:hAnsi="Verdana" w:cs="Tahoma"/>
                <w:sz w:val="18"/>
                <w:szCs w:val="18"/>
                <w:lang w:val="nl-BE" w:eastAsia="en-US"/>
              </w:rPr>
              <w:t xml:space="preserve">&lt; 10 </w:t>
            </w:r>
            <w:proofErr w:type="spellStart"/>
            <w:r w:rsidRPr="003B1CAC">
              <w:rPr>
                <w:rFonts w:ascii="Verdana" w:hAnsi="Verdana" w:cs="Tahoma"/>
                <w:sz w:val="18"/>
                <w:szCs w:val="18"/>
                <w:lang w:val="nl-BE" w:eastAsia="en-US"/>
              </w:rPr>
              <w:t>mL</w:t>
            </w:r>
            <w:proofErr w:type="spellEnd"/>
            <w:r w:rsidRPr="003B1CAC">
              <w:rPr>
                <w:rFonts w:ascii="Verdana" w:hAnsi="Verdana" w:cs="Tahoma"/>
                <w:sz w:val="18"/>
                <w:szCs w:val="18"/>
                <w:lang w:val="nl-BE" w:eastAsia="en-US"/>
              </w:rPr>
              <w:t xml:space="preserve">/min </w:t>
            </w:r>
          </w:p>
        </w:tc>
        <w:tc>
          <w:tcPr>
            <w:tcW w:w="0" w:type="auto"/>
          </w:tcPr>
          <w:p w14:paraId="0DCA0877" w14:textId="77777777" w:rsidR="00D84B0A" w:rsidRPr="003B1CAC" w:rsidRDefault="00D84B0A" w:rsidP="008D6E3C">
            <w:pPr>
              <w:jc w:val="right"/>
              <w:rPr>
                <w:rFonts w:ascii="Verdana" w:hAnsi="Verdana" w:cs="Tahoma"/>
                <w:sz w:val="18"/>
                <w:szCs w:val="18"/>
                <w:lang w:val="nl-BE"/>
              </w:rPr>
            </w:pPr>
            <w:r w:rsidRPr="003B1CAC">
              <w:rPr>
                <w:rFonts w:ascii="Verdana" w:hAnsi="Verdana" w:cs="Tahoma"/>
                <w:sz w:val="18"/>
                <w:szCs w:val="18"/>
                <w:lang w:val="nl-BE" w:eastAsia="en-US"/>
              </w:rPr>
              <w:t>500 mg elke 8 uur</w:t>
            </w:r>
          </w:p>
        </w:tc>
      </w:tr>
    </w:tbl>
    <w:p w14:paraId="72BAED1E" w14:textId="77777777" w:rsidR="00D84B0A" w:rsidRPr="003B1CAC" w:rsidRDefault="00D84B0A" w:rsidP="002B30E8">
      <w:pPr>
        <w:tabs>
          <w:tab w:val="left" w:pos="480"/>
        </w:tabs>
        <w:rPr>
          <w:rFonts w:ascii="Verdana" w:hAnsi="Verdana" w:cs="Arial"/>
          <w:sz w:val="18"/>
          <w:szCs w:val="18"/>
          <w:lang w:val="nl-BE"/>
        </w:rPr>
      </w:pPr>
    </w:p>
    <w:p w14:paraId="08279CD3" w14:textId="05C031C5" w:rsidR="00096B6D" w:rsidRPr="003B1CAC" w:rsidRDefault="00096B6D" w:rsidP="002B30E8">
      <w:pPr>
        <w:tabs>
          <w:tab w:val="left" w:pos="480"/>
        </w:tabs>
        <w:rPr>
          <w:rFonts w:ascii="Verdana" w:hAnsi="Verdana" w:cs="Arial"/>
          <w:color w:val="0000FF"/>
          <w:sz w:val="18"/>
          <w:szCs w:val="18"/>
          <w:lang w:val="nl-BE"/>
        </w:rPr>
      </w:pPr>
      <w:r w:rsidRPr="003B1CAC">
        <w:rPr>
          <w:rFonts w:ascii="Verdana" w:hAnsi="Verdana" w:cs="Arial"/>
          <w:color w:val="0000FF"/>
          <w:sz w:val="18"/>
          <w:szCs w:val="18"/>
          <w:lang w:val="nl-BE"/>
        </w:rPr>
        <w:t>&lt;</w:t>
      </w:r>
      <w:r w:rsidR="0078459B" w:rsidRPr="003B1CAC">
        <w:rPr>
          <w:rFonts w:ascii="Verdana" w:hAnsi="Verdana" w:cs="Arial"/>
          <w:color w:val="0000FF"/>
          <w:sz w:val="18"/>
          <w:szCs w:val="18"/>
          <w:lang w:val="nl-BE"/>
        </w:rPr>
        <w:t xml:space="preserve">Wanneer </w:t>
      </w:r>
      <w:r w:rsidRPr="003B1CAC">
        <w:rPr>
          <w:rFonts w:ascii="Verdana" w:hAnsi="Verdana" w:cs="Arial"/>
          <w:color w:val="0000FF"/>
          <w:sz w:val="18"/>
          <w:szCs w:val="18"/>
          <w:lang w:val="nl-BE"/>
        </w:rPr>
        <w:t xml:space="preserve">de sterkte/farmaceutische vorm niet </w:t>
      </w:r>
      <w:r w:rsidR="009E6B7E" w:rsidRPr="003B1CAC">
        <w:rPr>
          <w:rFonts w:ascii="Verdana" w:hAnsi="Verdana" w:cs="Arial"/>
          <w:color w:val="0000FF"/>
          <w:sz w:val="18"/>
          <w:szCs w:val="18"/>
          <w:lang w:val="nl-BE"/>
        </w:rPr>
        <w:t xml:space="preserve">is </w:t>
      </w:r>
      <w:r w:rsidR="00AD2E9F" w:rsidRPr="003B1CAC">
        <w:rPr>
          <w:rFonts w:ascii="Verdana" w:hAnsi="Verdana" w:cs="Arial"/>
          <w:color w:val="0000FF"/>
          <w:sz w:val="18"/>
          <w:szCs w:val="18"/>
          <w:lang w:val="nl-BE"/>
        </w:rPr>
        <w:t xml:space="preserve">geschikt </w:t>
      </w:r>
      <w:r w:rsidRPr="003B1CAC">
        <w:rPr>
          <w:rFonts w:ascii="Verdana" w:hAnsi="Verdana" w:cs="Arial"/>
          <w:color w:val="0000FF"/>
          <w:sz w:val="18"/>
          <w:szCs w:val="18"/>
          <w:lang w:val="nl-BE"/>
        </w:rPr>
        <w:t xml:space="preserve">voor toediening van een verminderde dosis, </w:t>
      </w:r>
      <w:r w:rsidR="0078459B" w:rsidRPr="003B1CAC">
        <w:rPr>
          <w:rFonts w:ascii="Verdana" w:hAnsi="Verdana" w:cs="Arial"/>
          <w:color w:val="0000FF"/>
          <w:sz w:val="18"/>
          <w:szCs w:val="18"/>
          <w:lang w:val="nl-BE"/>
        </w:rPr>
        <w:t>moet</w:t>
      </w:r>
      <w:r w:rsidRPr="003B1CAC">
        <w:rPr>
          <w:rFonts w:ascii="Verdana" w:hAnsi="Verdana" w:cs="Arial"/>
          <w:color w:val="0000FF"/>
          <w:sz w:val="18"/>
          <w:szCs w:val="18"/>
          <w:lang w:val="nl-BE"/>
        </w:rPr>
        <w:t xml:space="preserve"> dit </w:t>
      </w:r>
      <w:r w:rsidR="0078459B" w:rsidRPr="003B1CAC">
        <w:rPr>
          <w:rFonts w:ascii="Verdana" w:hAnsi="Verdana" w:cs="Arial"/>
          <w:color w:val="0000FF"/>
          <w:sz w:val="18"/>
          <w:szCs w:val="18"/>
          <w:lang w:val="nl-BE"/>
        </w:rPr>
        <w:t xml:space="preserve">worden </w:t>
      </w:r>
      <w:r w:rsidRPr="003B1CAC">
        <w:rPr>
          <w:rFonts w:ascii="Verdana" w:hAnsi="Verdana" w:cs="Arial"/>
          <w:color w:val="0000FF"/>
          <w:sz w:val="18"/>
          <w:szCs w:val="18"/>
          <w:lang w:val="nl-BE"/>
        </w:rPr>
        <w:t>vermeld:</w:t>
      </w:r>
    </w:p>
    <w:p w14:paraId="72B8071E" w14:textId="5CE20C6F" w:rsidR="00096B6D" w:rsidRPr="003B1CAC" w:rsidRDefault="00096B6D" w:rsidP="002B30E8">
      <w:pPr>
        <w:tabs>
          <w:tab w:val="left" w:pos="480"/>
        </w:tabs>
        <w:rPr>
          <w:rFonts w:ascii="Verdana" w:hAnsi="Verdana" w:cs="Arial"/>
          <w:color w:val="0000FF"/>
          <w:sz w:val="18"/>
          <w:szCs w:val="18"/>
          <w:lang w:val="nl-BE"/>
        </w:rPr>
      </w:pPr>
      <w:r w:rsidRPr="003B1CAC">
        <w:rPr>
          <w:rFonts w:ascii="Verdana" w:hAnsi="Verdana" w:cs="Arial"/>
          <w:color w:val="0000FF"/>
          <w:sz w:val="18"/>
          <w:szCs w:val="18"/>
          <w:lang w:val="nl-BE"/>
        </w:rPr>
        <w:t>X is niet geschikt voor patiënten met lever- en</w:t>
      </w:r>
      <w:r w:rsidR="0078459B" w:rsidRPr="003B1CAC">
        <w:rPr>
          <w:rFonts w:ascii="Verdana" w:hAnsi="Verdana" w:cs="Arial"/>
          <w:color w:val="0000FF"/>
          <w:sz w:val="18"/>
          <w:szCs w:val="18"/>
          <w:lang w:val="nl-BE"/>
        </w:rPr>
        <w:t>/of</w:t>
      </w:r>
      <w:r w:rsidRPr="003B1CAC">
        <w:rPr>
          <w:rFonts w:ascii="Verdana" w:hAnsi="Verdana" w:cs="Arial"/>
          <w:color w:val="0000FF"/>
          <w:sz w:val="18"/>
          <w:szCs w:val="18"/>
          <w:lang w:val="nl-BE"/>
        </w:rPr>
        <w:t xml:space="preserve"> nierinsufficiëntie, als een vermindering van de dosis nodig is. </w:t>
      </w:r>
      <w:r w:rsidR="006C3E55" w:rsidRPr="003B1CAC">
        <w:rPr>
          <w:rFonts w:ascii="Verdana" w:hAnsi="Verdana" w:cs="Arial"/>
          <w:color w:val="0000FF"/>
          <w:sz w:val="18"/>
          <w:szCs w:val="18"/>
          <w:lang w:val="nl-BE"/>
        </w:rPr>
        <w:t>Andere meer geschikte farmaceutische vormen/sterkte</w:t>
      </w:r>
      <w:r w:rsidR="005C13D1" w:rsidRPr="003B1CAC">
        <w:rPr>
          <w:rFonts w:ascii="Verdana" w:hAnsi="Verdana" w:cs="Arial"/>
          <w:color w:val="0000FF"/>
          <w:sz w:val="18"/>
          <w:szCs w:val="18"/>
          <w:lang w:val="nl-BE"/>
        </w:rPr>
        <w:t>s</w:t>
      </w:r>
      <w:r w:rsidR="006C3E55" w:rsidRPr="003B1CAC">
        <w:rPr>
          <w:rFonts w:ascii="Verdana" w:hAnsi="Verdana" w:cs="Arial"/>
          <w:color w:val="0000FF"/>
          <w:sz w:val="18"/>
          <w:szCs w:val="18"/>
          <w:lang w:val="nl-BE"/>
        </w:rPr>
        <w:t xml:space="preserve"> </w:t>
      </w:r>
      <w:r w:rsidR="0078459B" w:rsidRPr="003B1CAC">
        <w:rPr>
          <w:rFonts w:ascii="Verdana" w:hAnsi="Verdana" w:cs="Arial"/>
          <w:color w:val="0000FF"/>
          <w:sz w:val="18"/>
          <w:szCs w:val="18"/>
          <w:lang w:val="nl-BE"/>
        </w:rPr>
        <w:t xml:space="preserve">moeten worden </w:t>
      </w:r>
      <w:r w:rsidR="006C3E55" w:rsidRPr="003B1CAC">
        <w:rPr>
          <w:rFonts w:ascii="Verdana" w:hAnsi="Verdana" w:cs="Arial"/>
          <w:color w:val="0000FF"/>
          <w:sz w:val="18"/>
          <w:szCs w:val="18"/>
          <w:lang w:val="nl-BE"/>
        </w:rPr>
        <w:t>gebruikt.</w:t>
      </w:r>
      <w:r w:rsidRPr="003B1CAC">
        <w:rPr>
          <w:rFonts w:ascii="Verdana" w:hAnsi="Verdana" w:cs="Arial"/>
          <w:color w:val="0000FF"/>
          <w:sz w:val="18"/>
          <w:szCs w:val="18"/>
          <w:lang w:val="nl-BE"/>
        </w:rPr>
        <w:t>&gt;</w:t>
      </w:r>
    </w:p>
    <w:p w14:paraId="18F5FA25" w14:textId="77777777" w:rsidR="00096B6D" w:rsidRPr="003B1CAC" w:rsidRDefault="00096B6D" w:rsidP="002B30E8">
      <w:pPr>
        <w:tabs>
          <w:tab w:val="left" w:pos="480"/>
        </w:tabs>
        <w:rPr>
          <w:rFonts w:ascii="Verdana" w:hAnsi="Verdana" w:cs="Arial"/>
          <w:sz w:val="18"/>
          <w:szCs w:val="18"/>
          <w:lang w:val="nl-BE"/>
        </w:rPr>
      </w:pPr>
    </w:p>
    <w:p w14:paraId="2F8A14D1" w14:textId="77777777" w:rsidR="00990487" w:rsidRPr="003B1CAC" w:rsidRDefault="00990487" w:rsidP="002B30E8">
      <w:pPr>
        <w:pStyle w:val="Paragraphedeliste"/>
        <w:numPr>
          <w:ilvl w:val="0"/>
          <w:numId w:val="32"/>
        </w:numPr>
        <w:ind w:left="284" w:hanging="284"/>
        <w:rPr>
          <w:rFonts w:ascii="Verdana" w:hAnsi="Verdana"/>
          <w:sz w:val="18"/>
          <w:szCs w:val="18"/>
          <w:lang w:val="nl-BE"/>
        </w:rPr>
      </w:pPr>
      <w:r w:rsidRPr="003B1CAC">
        <w:rPr>
          <w:rFonts w:ascii="Verdana" w:hAnsi="Verdana"/>
          <w:sz w:val="18"/>
          <w:szCs w:val="18"/>
          <w:lang w:val="nl-BE"/>
        </w:rPr>
        <w:t>Ouderen</w:t>
      </w:r>
    </w:p>
    <w:p w14:paraId="5F4D5251" w14:textId="07E4A4D9" w:rsidR="00990487" w:rsidRPr="003B1CAC" w:rsidRDefault="00990487" w:rsidP="002B30E8">
      <w:pPr>
        <w:tabs>
          <w:tab w:val="left" w:pos="480"/>
        </w:tabs>
        <w:rPr>
          <w:rFonts w:ascii="Verdana" w:hAnsi="Verdana" w:cs="Arial"/>
          <w:sz w:val="18"/>
          <w:szCs w:val="18"/>
          <w:lang w:val="nl-BE"/>
        </w:rPr>
      </w:pPr>
      <w:r w:rsidRPr="003B1CAC">
        <w:rPr>
          <w:rFonts w:ascii="Verdana" w:hAnsi="Verdana" w:cs="Arial"/>
          <w:sz w:val="18"/>
          <w:szCs w:val="18"/>
          <w:lang w:val="nl-BE"/>
        </w:rPr>
        <w:t xml:space="preserve">Op basis van </w:t>
      </w:r>
      <w:proofErr w:type="spellStart"/>
      <w:r w:rsidRPr="003B1CAC">
        <w:rPr>
          <w:rFonts w:ascii="Verdana" w:hAnsi="Verdana" w:cs="Arial"/>
          <w:sz w:val="18"/>
          <w:szCs w:val="18"/>
          <w:lang w:val="nl-BE"/>
        </w:rPr>
        <w:t>farmacokinetische</w:t>
      </w:r>
      <w:proofErr w:type="spellEnd"/>
      <w:r w:rsidRPr="003B1CAC">
        <w:rPr>
          <w:rFonts w:ascii="Verdana" w:hAnsi="Verdana" w:cs="Arial"/>
          <w:sz w:val="18"/>
          <w:szCs w:val="18"/>
          <w:lang w:val="nl-BE"/>
        </w:rPr>
        <w:t xml:space="preserve"> gegevens is geen dosisaanpassing nodig. </w:t>
      </w:r>
      <w:r w:rsidR="00427EED" w:rsidRPr="003B1CAC">
        <w:rPr>
          <w:rFonts w:ascii="Verdana" w:hAnsi="Verdana" w:cs="Arial"/>
          <w:sz w:val="18"/>
          <w:szCs w:val="18"/>
          <w:lang w:val="nl-BE"/>
        </w:rPr>
        <w:t>Er moet</w:t>
      </w:r>
      <w:r w:rsidR="00532447" w:rsidRPr="003B1CAC">
        <w:rPr>
          <w:rFonts w:ascii="Verdana" w:hAnsi="Verdana" w:cs="Arial"/>
          <w:sz w:val="18"/>
          <w:szCs w:val="18"/>
          <w:lang w:val="nl-BE"/>
        </w:rPr>
        <w:t xml:space="preserve"> wel</w:t>
      </w:r>
      <w:r w:rsidRPr="003B1CAC">
        <w:rPr>
          <w:rFonts w:ascii="Verdana" w:hAnsi="Verdana" w:cs="Arial"/>
          <w:sz w:val="18"/>
          <w:szCs w:val="18"/>
          <w:lang w:val="nl-BE"/>
        </w:rPr>
        <w:t xml:space="preserve"> rekening </w:t>
      </w:r>
      <w:r w:rsidR="00427EED" w:rsidRPr="003B1CAC">
        <w:rPr>
          <w:rFonts w:ascii="Verdana" w:hAnsi="Verdana" w:cs="Arial"/>
          <w:sz w:val="18"/>
          <w:szCs w:val="18"/>
          <w:lang w:val="nl-BE"/>
        </w:rPr>
        <w:t>ge</w:t>
      </w:r>
      <w:r w:rsidRPr="003B1CAC">
        <w:rPr>
          <w:rFonts w:ascii="Verdana" w:hAnsi="Verdana" w:cs="Arial"/>
          <w:sz w:val="18"/>
          <w:szCs w:val="18"/>
          <w:lang w:val="nl-BE"/>
        </w:rPr>
        <w:t xml:space="preserve">houden </w:t>
      </w:r>
      <w:r w:rsidR="0088082E" w:rsidRPr="003B1CAC">
        <w:rPr>
          <w:rFonts w:ascii="Verdana" w:hAnsi="Verdana" w:cs="Arial"/>
          <w:sz w:val="18"/>
          <w:szCs w:val="18"/>
          <w:lang w:val="nl-BE"/>
        </w:rPr>
        <w:t xml:space="preserve">worden </w:t>
      </w:r>
      <w:r w:rsidRPr="003B1CAC">
        <w:rPr>
          <w:rFonts w:ascii="Verdana" w:hAnsi="Verdana" w:cs="Arial"/>
          <w:sz w:val="18"/>
          <w:szCs w:val="18"/>
          <w:lang w:val="nl-BE"/>
        </w:rPr>
        <w:t>met het feit dat nier- en/of leverinsufficiëntie vaker voorkomen bij ouderen.</w:t>
      </w:r>
    </w:p>
    <w:p w14:paraId="345BD6B3" w14:textId="77777777" w:rsidR="00990487" w:rsidRPr="003B1CAC" w:rsidRDefault="00990487" w:rsidP="002B30E8">
      <w:pPr>
        <w:tabs>
          <w:tab w:val="left" w:pos="480"/>
        </w:tabs>
        <w:rPr>
          <w:rFonts w:ascii="Verdana" w:hAnsi="Verdana" w:cs="Arial"/>
          <w:sz w:val="18"/>
          <w:szCs w:val="18"/>
          <w:lang w:val="nl-BE"/>
        </w:rPr>
      </w:pPr>
    </w:p>
    <w:p w14:paraId="424872BC" w14:textId="77777777" w:rsidR="00343D09" w:rsidRPr="003B1CAC" w:rsidRDefault="00343D09" w:rsidP="002B30E8">
      <w:pPr>
        <w:tabs>
          <w:tab w:val="left" w:pos="480"/>
        </w:tabs>
        <w:rPr>
          <w:rFonts w:ascii="Verdana" w:hAnsi="Verdana" w:cs="Arial"/>
          <w:b/>
          <w:sz w:val="18"/>
          <w:szCs w:val="18"/>
          <w:lang w:val="nl-BE"/>
        </w:rPr>
      </w:pPr>
      <w:r w:rsidRPr="003B1CAC">
        <w:rPr>
          <w:rFonts w:ascii="Verdana" w:hAnsi="Verdana" w:cs="Arial"/>
          <w:b/>
          <w:sz w:val="18"/>
          <w:szCs w:val="18"/>
          <w:lang w:val="nl-BE"/>
        </w:rPr>
        <w:t>4.3 Contra-indicaties</w:t>
      </w:r>
    </w:p>
    <w:p w14:paraId="70666ABD" w14:textId="31C55BC5" w:rsidR="001E3F14" w:rsidRPr="003B1CAC" w:rsidRDefault="001E3F14" w:rsidP="002B30E8">
      <w:pPr>
        <w:tabs>
          <w:tab w:val="left" w:pos="480"/>
        </w:tabs>
        <w:rPr>
          <w:rFonts w:ascii="Verdana" w:hAnsi="Verdana" w:cs="Arial"/>
          <w:sz w:val="18"/>
          <w:szCs w:val="18"/>
          <w:lang w:val="nl-BE"/>
        </w:rPr>
      </w:pPr>
      <w:r w:rsidRPr="003B1CAC">
        <w:rPr>
          <w:rFonts w:ascii="Verdana" w:hAnsi="Verdana" w:cs="Arial"/>
          <w:sz w:val="18"/>
          <w:szCs w:val="18"/>
          <w:lang w:val="nl-BE"/>
        </w:rPr>
        <w:t>Overgevoeligheid voor het werkzaam bestanddeel of voor één van de hulpstoffen</w:t>
      </w:r>
      <w:r w:rsidR="00404C20" w:rsidRPr="003B1CAC">
        <w:rPr>
          <w:rFonts w:ascii="Verdana" w:hAnsi="Verdana" w:cs="Arial"/>
          <w:sz w:val="18"/>
          <w:szCs w:val="18"/>
          <w:lang w:val="nl-BE"/>
        </w:rPr>
        <w:t>.</w:t>
      </w:r>
    </w:p>
    <w:p w14:paraId="2419C9B3" w14:textId="77777777" w:rsidR="00C618D8" w:rsidRPr="003B1CAC" w:rsidRDefault="00C618D8" w:rsidP="002B30E8">
      <w:pPr>
        <w:tabs>
          <w:tab w:val="left" w:pos="480"/>
        </w:tabs>
        <w:rPr>
          <w:rFonts w:ascii="Verdana" w:hAnsi="Verdana" w:cs="Arial"/>
          <w:sz w:val="18"/>
          <w:szCs w:val="18"/>
          <w:lang w:val="nl-BE"/>
        </w:rPr>
      </w:pPr>
      <w:bookmarkStart w:id="1" w:name="OLE_LINK2"/>
    </w:p>
    <w:p w14:paraId="0C5BA761" w14:textId="6994D3E0" w:rsidR="00C110D1" w:rsidRPr="003B1CAC" w:rsidRDefault="00C618D8" w:rsidP="002B30E8">
      <w:pPr>
        <w:tabs>
          <w:tab w:val="left" w:pos="480"/>
        </w:tabs>
        <w:rPr>
          <w:rFonts w:ascii="Verdana" w:hAnsi="Verdana" w:cs="Arial"/>
          <w:color w:val="0000FF"/>
          <w:sz w:val="18"/>
          <w:szCs w:val="18"/>
          <w:lang w:val="nl-BE"/>
        </w:rPr>
      </w:pPr>
      <w:r w:rsidRPr="003B1CAC">
        <w:rPr>
          <w:rFonts w:ascii="Verdana" w:hAnsi="Verdana" w:cs="Arial"/>
          <w:color w:val="0000FF"/>
          <w:sz w:val="18"/>
          <w:szCs w:val="18"/>
          <w:lang w:val="nl-BE"/>
        </w:rPr>
        <w:t>&lt;</w:t>
      </w:r>
      <w:r w:rsidR="00C110D1" w:rsidRPr="003B1CAC">
        <w:rPr>
          <w:rFonts w:ascii="Verdana" w:hAnsi="Verdana"/>
          <w:sz w:val="18"/>
          <w:szCs w:val="18"/>
          <w:lang w:val="nl-BE"/>
        </w:rPr>
        <w:t xml:space="preserve"> </w:t>
      </w:r>
      <w:r w:rsidR="00235ADB" w:rsidRPr="003B1CAC">
        <w:rPr>
          <w:rFonts w:ascii="Verdana" w:hAnsi="Verdana" w:cs="Arial"/>
          <w:color w:val="0000FF"/>
          <w:sz w:val="18"/>
          <w:szCs w:val="18"/>
          <w:lang w:val="nl-BE"/>
        </w:rPr>
        <w:t>Ernstige leverinsufficiëntie en ernstige hemolytische anemie/G6PD</w:t>
      </w:r>
      <w:r w:rsidR="00404C20" w:rsidRPr="003B1CAC">
        <w:rPr>
          <w:rFonts w:ascii="Verdana" w:hAnsi="Verdana" w:cs="Arial"/>
          <w:color w:val="0000FF"/>
          <w:sz w:val="18"/>
          <w:szCs w:val="18"/>
          <w:lang w:val="nl-BE"/>
        </w:rPr>
        <w:t>-</w:t>
      </w:r>
      <w:r w:rsidR="00235ADB" w:rsidRPr="003B1CAC">
        <w:rPr>
          <w:rFonts w:ascii="Verdana" w:hAnsi="Verdana" w:cs="Arial"/>
          <w:color w:val="0000FF"/>
          <w:sz w:val="18"/>
          <w:szCs w:val="18"/>
          <w:lang w:val="nl-BE"/>
        </w:rPr>
        <w:t>deficiëntie zijn geen con</w:t>
      </w:r>
      <w:r w:rsidR="00425598" w:rsidRPr="003B1CAC">
        <w:rPr>
          <w:rFonts w:ascii="Verdana" w:hAnsi="Verdana" w:cs="Arial"/>
          <w:color w:val="0000FF"/>
          <w:sz w:val="18"/>
          <w:szCs w:val="18"/>
          <w:lang w:val="nl-BE"/>
        </w:rPr>
        <w:t>tra-indicaties</w:t>
      </w:r>
      <w:r w:rsidR="00404C20" w:rsidRPr="003B1CAC">
        <w:rPr>
          <w:rFonts w:ascii="Verdana" w:hAnsi="Verdana" w:cs="Arial"/>
          <w:color w:val="0000FF"/>
          <w:sz w:val="18"/>
          <w:szCs w:val="18"/>
          <w:lang w:val="nl-BE"/>
        </w:rPr>
        <w:t>. D</w:t>
      </w:r>
      <w:r w:rsidR="00235ADB" w:rsidRPr="003B1CAC">
        <w:rPr>
          <w:rFonts w:ascii="Verdana" w:hAnsi="Verdana" w:cs="Arial"/>
          <w:color w:val="0000FF"/>
          <w:sz w:val="18"/>
          <w:szCs w:val="18"/>
          <w:lang w:val="nl-BE"/>
        </w:rPr>
        <w:t xml:space="preserve">e </w:t>
      </w:r>
      <w:proofErr w:type="spellStart"/>
      <w:r w:rsidR="00235ADB" w:rsidRPr="003B1CAC">
        <w:rPr>
          <w:rFonts w:ascii="Verdana" w:hAnsi="Verdana" w:cs="Arial"/>
          <w:color w:val="0000FF"/>
          <w:sz w:val="18"/>
          <w:szCs w:val="18"/>
          <w:lang w:val="nl-BE"/>
        </w:rPr>
        <w:t>PhVWP</w:t>
      </w:r>
      <w:proofErr w:type="spellEnd"/>
      <w:r w:rsidR="00235ADB" w:rsidRPr="003B1CAC">
        <w:rPr>
          <w:rFonts w:ascii="Verdana" w:hAnsi="Verdana" w:cs="Arial"/>
          <w:color w:val="0000FF"/>
          <w:sz w:val="18"/>
          <w:szCs w:val="18"/>
          <w:lang w:val="nl-BE"/>
        </w:rPr>
        <w:t xml:space="preserve"> </w:t>
      </w:r>
      <w:r w:rsidR="000C77E3" w:rsidRPr="003B1CAC">
        <w:rPr>
          <w:rFonts w:ascii="Verdana" w:hAnsi="Verdana" w:cs="Arial"/>
          <w:color w:val="0000FF"/>
          <w:sz w:val="18"/>
          <w:szCs w:val="18"/>
          <w:lang w:val="nl-BE"/>
        </w:rPr>
        <w:t xml:space="preserve">heeft besloten </w:t>
      </w:r>
      <w:r w:rsidR="00235ADB" w:rsidRPr="003B1CAC">
        <w:rPr>
          <w:rFonts w:ascii="Verdana" w:hAnsi="Verdana" w:cs="Arial"/>
          <w:color w:val="0000FF"/>
          <w:sz w:val="18"/>
          <w:szCs w:val="18"/>
          <w:lang w:val="nl-BE"/>
        </w:rPr>
        <w:t xml:space="preserve">dat er onvoldoende evidentie </w:t>
      </w:r>
      <w:r w:rsidR="005970C5" w:rsidRPr="003B1CAC">
        <w:rPr>
          <w:rFonts w:ascii="Verdana" w:hAnsi="Verdana" w:cs="Arial"/>
          <w:color w:val="0000FF"/>
          <w:sz w:val="18"/>
          <w:szCs w:val="18"/>
          <w:lang w:val="nl-BE"/>
        </w:rPr>
        <w:t xml:space="preserve">is, </w:t>
      </w:r>
      <w:r w:rsidR="00235ADB" w:rsidRPr="003B1CAC">
        <w:rPr>
          <w:rFonts w:ascii="Verdana" w:hAnsi="Verdana" w:cs="Arial"/>
          <w:color w:val="0000FF"/>
          <w:sz w:val="18"/>
          <w:szCs w:val="18"/>
          <w:lang w:val="nl-BE"/>
        </w:rPr>
        <w:t xml:space="preserve">om een contra-indicatie te ondersteunen </w:t>
      </w:r>
      <w:r w:rsidR="005970C5" w:rsidRPr="003B1CAC">
        <w:rPr>
          <w:rFonts w:ascii="Verdana" w:hAnsi="Verdana" w:cs="Arial"/>
          <w:color w:val="0000FF"/>
          <w:sz w:val="18"/>
          <w:szCs w:val="18"/>
          <w:lang w:val="nl-BE"/>
        </w:rPr>
        <w:t>bij</w:t>
      </w:r>
      <w:r w:rsidR="00235ADB" w:rsidRPr="003B1CAC">
        <w:rPr>
          <w:rFonts w:ascii="Verdana" w:hAnsi="Verdana" w:cs="Arial"/>
          <w:color w:val="0000FF"/>
          <w:sz w:val="18"/>
          <w:szCs w:val="18"/>
          <w:lang w:val="nl-BE"/>
        </w:rPr>
        <w:t xml:space="preserve"> </w:t>
      </w:r>
      <w:r w:rsidR="005970C5" w:rsidRPr="003B1CAC">
        <w:rPr>
          <w:rFonts w:ascii="Verdana" w:hAnsi="Verdana" w:cs="Arial"/>
          <w:color w:val="0000FF"/>
          <w:sz w:val="18"/>
          <w:szCs w:val="18"/>
          <w:lang w:val="nl-BE"/>
        </w:rPr>
        <w:t xml:space="preserve">ernstige leverinsufficiëntie, </w:t>
      </w:r>
      <w:r w:rsidR="00235ADB" w:rsidRPr="003B1CAC">
        <w:rPr>
          <w:rFonts w:ascii="Verdana" w:hAnsi="Verdana" w:cs="Arial"/>
          <w:color w:val="0000FF"/>
          <w:sz w:val="18"/>
          <w:szCs w:val="18"/>
          <w:lang w:val="nl-BE"/>
        </w:rPr>
        <w:t>ernstige hemolytische anemie/G6PD</w:t>
      </w:r>
      <w:r w:rsidR="00404C20" w:rsidRPr="003B1CAC">
        <w:rPr>
          <w:rFonts w:ascii="Verdana" w:hAnsi="Verdana" w:cs="Arial"/>
          <w:color w:val="0000FF"/>
          <w:sz w:val="18"/>
          <w:szCs w:val="18"/>
          <w:lang w:val="nl-BE"/>
        </w:rPr>
        <w:t>-</w:t>
      </w:r>
      <w:r w:rsidR="00235ADB" w:rsidRPr="003B1CAC">
        <w:rPr>
          <w:rFonts w:ascii="Verdana" w:hAnsi="Verdana" w:cs="Arial"/>
          <w:color w:val="0000FF"/>
          <w:sz w:val="18"/>
          <w:szCs w:val="18"/>
          <w:lang w:val="nl-BE"/>
        </w:rPr>
        <w:t>deficiëntie</w:t>
      </w:r>
      <w:r w:rsidR="005970C5" w:rsidRPr="003B1CAC">
        <w:rPr>
          <w:rFonts w:ascii="Verdana" w:hAnsi="Verdana" w:cs="Arial"/>
          <w:color w:val="0000FF"/>
          <w:sz w:val="18"/>
          <w:szCs w:val="18"/>
          <w:lang w:val="nl-BE"/>
        </w:rPr>
        <w:t xml:space="preserve"> bij gebruik van therapeutische doses</w:t>
      </w:r>
      <w:r w:rsidR="00235ADB" w:rsidRPr="003B1CAC">
        <w:rPr>
          <w:rFonts w:ascii="Verdana" w:hAnsi="Verdana" w:cs="Arial"/>
          <w:color w:val="0000FF"/>
          <w:sz w:val="18"/>
          <w:szCs w:val="18"/>
          <w:lang w:val="nl-BE"/>
        </w:rPr>
        <w:t xml:space="preserve">, en </w:t>
      </w:r>
      <w:r w:rsidR="005970C5" w:rsidRPr="003B1CAC">
        <w:rPr>
          <w:rFonts w:ascii="Verdana" w:hAnsi="Verdana" w:cs="Arial"/>
          <w:color w:val="0000FF"/>
          <w:sz w:val="18"/>
          <w:szCs w:val="18"/>
          <w:lang w:val="nl-BE"/>
        </w:rPr>
        <w:t xml:space="preserve">houdt </w:t>
      </w:r>
      <w:r w:rsidR="00425598" w:rsidRPr="003B1CAC">
        <w:rPr>
          <w:rFonts w:ascii="Verdana" w:hAnsi="Verdana" w:cs="Arial"/>
          <w:color w:val="0000FF"/>
          <w:sz w:val="18"/>
          <w:szCs w:val="18"/>
          <w:lang w:val="nl-BE"/>
        </w:rPr>
        <w:t>ook</w:t>
      </w:r>
      <w:r w:rsidR="00235ADB" w:rsidRPr="003B1CAC">
        <w:rPr>
          <w:rFonts w:ascii="Verdana" w:hAnsi="Verdana" w:cs="Arial"/>
          <w:color w:val="0000FF"/>
          <w:sz w:val="18"/>
          <w:szCs w:val="18"/>
          <w:lang w:val="nl-BE"/>
        </w:rPr>
        <w:t xml:space="preserve"> rekening met de veiligheid van alternatieven voor paracetamol in deze populaties</w:t>
      </w:r>
      <w:r w:rsidR="005929DA" w:rsidRPr="003B1CAC">
        <w:rPr>
          <w:rFonts w:ascii="Verdana" w:hAnsi="Verdana" w:cs="Arial"/>
          <w:color w:val="0000FF"/>
          <w:sz w:val="18"/>
          <w:szCs w:val="18"/>
          <w:lang w:val="nl-BE"/>
        </w:rPr>
        <w:t>. D</w:t>
      </w:r>
      <w:r w:rsidR="00235ADB" w:rsidRPr="003B1CAC">
        <w:rPr>
          <w:rFonts w:ascii="Verdana" w:hAnsi="Verdana" w:cs="Arial"/>
          <w:color w:val="0000FF"/>
          <w:sz w:val="18"/>
          <w:szCs w:val="18"/>
          <w:lang w:val="nl-BE"/>
        </w:rPr>
        <w:t xml:space="preserve">e </w:t>
      </w:r>
      <w:proofErr w:type="spellStart"/>
      <w:r w:rsidR="00235ADB" w:rsidRPr="003B1CAC">
        <w:rPr>
          <w:rFonts w:ascii="Verdana" w:hAnsi="Verdana" w:cs="Arial"/>
          <w:color w:val="0000FF"/>
          <w:sz w:val="18"/>
          <w:szCs w:val="18"/>
          <w:lang w:val="nl-BE"/>
        </w:rPr>
        <w:t>PhVWP</w:t>
      </w:r>
      <w:proofErr w:type="spellEnd"/>
      <w:r w:rsidR="00235ADB" w:rsidRPr="003B1CAC">
        <w:rPr>
          <w:rFonts w:ascii="Verdana" w:hAnsi="Verdana" w:cs="Arial"/>
          <w:color w:val="0000FF"/>
          <w:sz w:val="18"/>
          <w:szCs w:val="18"/>
          <w:lang w:val="nl-BE"/>
        </w:rPr>
        <w:t xml:space="preserve"> formuleer</w:t>
      </w:r>
      <w:r w:rsidR="000C77E3" w:rsidRPr="003B1CAC">
        <w:rPr>
          <w:rFonts w:ascii="Verdana" w:hAnsi="Verdana" w:cs="Arial"/>
          <w:color w:val="0000FF"/>
          <w:sz w:val="18"/>
          <w:szCs w:val="18"/>
          <w:lang w:val="nl-BE"/>
        </w:rPr>
        <w:t>de</w:t>
      </w:r>
      <w:r w:rsidR="00235ADB" w:rsidRPr="003B1CAC">
        <w:rPr>
          <w:rFonts w:ascii="Verdana" w:hAnsi="Verdana" w:cs="Arial"/>
          <w:color w:val="0000FF"/>
          <w:sz w:val="18"/>
          <w:szCs w:val="18"/>
          <w:lang w:val="nl-BE"/>
        </w:rPr>
        <w:t xml:space="preserve"> aanbevelingen voor rubriek 4.2 en 4.4 van de </w:t>
      </w:r>
      <w:r w:rsidR="00404C20" w:rsidRPr="003B1CAC">
        <w:rPr>
          <w:rFonts w:ascii="Verdana" w:hAnsi="Verdana" w:cs="Arial"/>
          <w:color w:val="0000FF"/>
          <w:sz w:val="18"/>
          <w:szCs w:val="18"/>
          <w:lang w:val="nl-BE"/>
        </w:rPr>
        <w:t>SKP</w:t>
      </w:r>
      <w:r w:rsidR="005929DA" w:rsidRPr="003B1CAC">
        <w:rPr>
          <w:rFonts w:ascii="Verdana" w:hAnsi="Verdana" w:cs="Arial"/>
          <w:color w:val="0000FF"/>
          <w:sz w:val="18"/>
          <w:szCs w:val="18"/>
          <w:lang w:val="nl-BE"/>
        </w:rPr>
        <w:t>: e</w:t>
      </w:r>
      <w:r w:rsidR="005970C5" w:rsidRPr="003B1CAC">
        <w:rPr>
          <w:rFonts w:ascii="Verdana" w:hAnsi="Verdana" w:cs="Arial"/>
          <w:color w:val="0000FF"/>
          <w:sz w:val="18"/>
          <w:szCs w:val="18"/>
          <w:lang w:val="nl-BE"/>
        </w:rPr>
        <w:t>en aangepaste dosering en duidelijke waarschuwingen over de potentiële risico's bij deze patiënten zijn meer geschikt en weerspiegelen de bestaande evidentie</w:t>
      </w:r>
      <w:r w:rsidR="00C110D1" w:rsidRPr="003B1CAC">
        <w:rPr>
          <w:rFonts w:ascii="Verdana" w:hAnsi="Verdana" w:cs="Arial"/>
          <w:color w:val="0000FF"/>
          <w:sz w:val="18"/>
          <w:szCs w:val="18"/>
          <w:vertAlign w:val="superscript"/>
          <w:lang w:val="nl-BE"/>
        </w:rPr>
        <w:t>[2]</w:t>
      </w:r>
      <w:r w:rsidR="00C110D1" w:rsidRPr="003B1CAC">
        <w:rPr>
          <w:rFonts w:ascii="Verdana" w:hAnsi="Verdana" w:cs="Arial"/>
          <w:color w:val="0000FF"/>
          <w:sz w:val="18"/>
          <w:szCs w:val="18"/>
          <w:lang w:val="nl-BE"/>
        </w:rPr>
        <w:t>.&gt;</w:t>
      </w:r>
    </w:p>
    <w:bookmarkEnd w:id="1"/>
    <w:p w14:paraId="3330F56D" w14:textId="77777777" w:rsidR="001E3F14" w:rsidRPr="003B1CAC" w:rsidRDefault="001E3F14" w:rsidP="002B30E8">
      <w:pPr>
        <w:tabs>
          <w:tab w:val="left" w:pos="480"/>
        </w:tabs>
        <w:rPr>
          <w:rFonts w:ascii="Verdana" w:hAnsi="Verdana" w:cs="Arial"/>
          <w:b/>
          <w:sz w:val="18"/>
          <w:szCs w:val="18"/>
          <w:lang w:val="nl-BE"/>
        </w:rPr>
      </w:pPr>
    </w:p>
    <w:p w14:paraId="7844317C" w14:textId="77777777" w:rsidR="008A2108" w:rsidRPr="003B1CAC" w:rsidRDefault="008A2108" w:rsidP="002B30E8">
      <w:pPr>
        <w:tabs>
          <w:tab w:val="left" w:pos="2977"/>
          <w:tab w:val="left" w:pos="3402"/>
          <w:tab w:val="left" w:pos="3969"/>
        </w:tabs>
        <w:rPr>
          <w:rFonts w:ascii="Verdana" w:hAnsi="Verdana" w:cs="Arial"/>
          <w:b/>
          <w:sz w:val="18"/>
          <w:szCs w:val="18"/>
          <w:lang w:val="nl-BE"/>
        </w:rPr>
      </w:pPr>
      <w:r w:rsidRPr="003B1CAC">
        <w:rPr>
          <w:rFonts w:ascii="Verdana" w:hAnsi="Verdana" w:cs="Arial"/>
          <w:b/>
          <w:sz w:val="18"/>
          <w:szCs w:val="18"/>
          <w:lang w:val="nl-BE"/>
        </w:rPr>
        <w:t>4.4 Bijzondere waarschuwingen en voorzorgen bij gebruik</w:t>
      </w:r>
    </w:p>
    <w:p w14:paraId="6B2B488C" w14:textId="602C4B1F" w:rsidR="00F27323" w:rsidRPr="003B1CAC" w:rsidRDefault="00F27323" w:rsidP="002B30E8">
      <w:pPr>
        <w:numPr>
          <w:ilvl w:val="0"/>
          <w:numId w:val="4"/>
        </w:num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Langdurig of veelvuldig gebruik wordt afgeraden</w:t>
      </w:r>
      <w:r w:rsidR="00F93680" w:rsidRPr="003B1CAC">
        <w:rPr>
          <w:rFonts w:ascii="Verdana" w:hAnsi="Verdana" w:cs="Arial"/>
          <w:sz w:val="18"/>
          <w:szCs w:val="18"/>
          <w:lang w:val="nl-BE"/>
        </w:rPr>
        <w:t>. Langdurig gebruik, behalve onder medisch toezicht, kan</w:t>
      </w:r>
      <w:r w:rsidR="005109CC" w:rsidRPr="003B1CAC">
        <w:rPr>
          <w:rFonts w:ascii="Verdana" w:hAnsi="Verdana" w:cs="Arial"/>
          <w:sz w:val="18"/>
          <w:szCs w:val="18"/>
          <w:lang w:val="nl-BE"/>
        </w:rPr>
        <w:t xml:space="preserve"> schadelijk zijn</w:t>
      </w:r>
      <w:r w:rsidRPr="003B1CAC">
        <w:rPr>
          <w:rFonts w:ascii="Verdana" w:hAnsi="Verdana" w:cs="Arial"/>
          <w:sz w:val="18"/>
          <w:szCs w:val="18"/>
          <w:vertAlign w:val="superscript"/>
          <w:lang w:val="nl-BE"/>
        </w:rPr>
        <w:t>[2]</w:t>
      </w:r>
      <w:r w:rsidRPr="003B1CAC">
        <w:rPr>
          <w:rFonts w:ascii="Verdana" w:hAnsi="Verdana" w:cs="Arial"/>
          <w:sz w:val="18"/>
          <w:szCs w:val="18"/>
          <w:lang w:val="nl-BE"/>
        </w:rPr>
        <w:t>.</w:t>
      </w:r>
    </w:p>
    <w:p w14:paraId="768B0F47" w14:textId="34B959A0" w:rsidR="00A42215" w:rsidRPr="003B1CAC" w:rsidRDefault="00A42215" w:rsidP="002B30E8">
      <w:pPr>
        <w:numPr>
          <w:ilvl w:val="0"/>
          <w:numId w:val="4"/>
        </w:num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De maximale dosis mag in geen geval </w:t>
      </w:r>
      <w:r w:rsidR="004C79DE" w:rsidRPr="003B1CAC">
        <w:rPr>
          <w:rFonts w:ascii="Verdana" w:hAnsi="Verdana" w:cs="Arial"/>
          <w:sz w:val="18"/>
          <w:szCs w:val="18"/>
          <w:lang w:val="nl-BE"/>
        </w:rPr>
        <w:t xml:space="preserve">worden </w:t>
      </w:r>
      <w:r w:rsidRPr="003B1CAC">
        <w:rPr>
          <w:rFonts w:ascii="Verdana" w:hAnsi="Verdana" w:cs="Arial"/>
          <w:sz w:val="18"/>
          <w:szCs w:val="18"/>
          <w:lang w:val="nl-BE"/>
        </w:rPr>
        <w:t>overschreden</w:t>
      </w:r>
      <w:r w:rsidR="007E60D1" w:rsidRPr="003B1CAC">
        <w:rPr>
          <w:rFonts w:ascii="Verdana" w:hAnsi="Verdana" w:cs="Arial"/>
          <w:sz w:val="18"/>
          <w:szCs w:val="18"/>
          <w:lang w:val="nl-BE"/>
        </w:rPr>
        <w:t xml:space="preserve">. </w:t>
      </w:r>
      <w:r w:rsidRPr="003B1CAC">
        <w:rPr>
          <w:rFonts w:ascii="Verdana" w:hAnsi="Verdana" w:cs="Arial"/>
          <w:sz w:val="18"/>
          <w:szCs w:val="18"/>
          <w:lang w:val="nl-BE"/>
        </w:rPr>
        <w:t xml:space="preserve">Om het risico van een overdosis te vermijden, </w:t>
      </w:r>
      <w:r w:rsidR="000243E4" w:rsidRPr="003B1CAC">
        <w:rPr>
          <w:rFonts w:ascii="Verdana" w:hAnsi="Verdana" w:cs="Arial"/>
          <w:sz w:val="18"/>
          <w:szCs w:val="18"/>
          <w:lang w:val="nl-BE"/>
        </w:rPr>
        <w:t xml:space="preserve">mogen </w:t>
      </w:r>
      <w:r w:rsidR="002F4446" w:rsidRPr="003B1CAC">
        <w:rPr>
          <w:rFonts w:ascii="Verdana" w:hAnsi="Verdana" w:cs="Arial"/>
          <w:sz w:val="18"/>
          <w:szCs w:val="18"/>
          <w:lang w:val="nl-BE"/>
        </w:rPr>
        <w:t xml:space="preserve">geen andere paracetamol-bevattende producten gelijktijdig </w:t>
      </w:r>
      <w:r w:rsidR="004C79DE" w:rsidRPr="003B1CAC">
        <w:rPr>
          <w:rFonts w:ascii="Verdana" w:hAnsi="Verdana" w:cs="Arial"/>
          <w:sz w:val="18"/>
          <w:szCs w:val="18"/>
          <w:lang w:val="nl-BE"/>
        </w:rPr>
        <w:t xml:space="preserve">worden </w:t>
      </w:r>
      <w:r w:rsidR="000243E4" w:rsidRPr="003B1CAC">
        <w:rPr>
          <w:rFonts w:ascii="Verdana" w:hAnsi="Verdana" w:cs="Arial"/>
          <w:sz w:val="18"/>
          <w:szCs w:val="18"/>
          <w:lang w:val="nl-BE"/>
        </w:rPr>
        <w:t>ingenomen</w:t>
      </w:r>
      <w:r w:rsidR="004F67C0" w:rsidRPr="003B1CAC">
        <w:rPr>
          <w:rFonts w:ascii="Verdana" w:hAnsi="Verdana" w:cs="Arial"/>
          <w:sz w:val="18"/>
          <w:szCs w:val="18"/>
          <w:vertAlign w:val="superscript"/>
          <w:lang w:val="nl-BE"/>
        </w:rPr>
        <w:t>[2]</w:t>
      </w:r>
      <w:r w:rsidRPr="003B1CAC">
        <w:rPr>
          <w:rFonts w:ascii="Verdana" w:hAnsi="Verdana" w:cs="Arial"/>
          <w:sz w:val="18"/>
          <w:szCs w:val="18"/>
          <w:lang w:val="nl-BE"/>
        </w:rPr>
        <w:t>.</w:t>
      </w:r>
    </w:p>
    <w:p w14:paraId="4FD610B3" w14:textId="2019A7AC" w:rsidR="005A414A" w:rsidRPr="003B1CAC" w:rsidRDefault="00C53016" w:rsidP="002B30E8">
      <w:pPr>
        <w:numPr>
          <w:ilvl w:val="0"/>
          <w:numId w:val="4"/>
        </w:num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Het in eenmaal innemen van </w:t>
      </w:r>
      <w:r w:rsidR="00AD2E9F" w:rsidRPr="003B1CAC">
        <w:rPr>
          <w:rFonts w:ascii="Verdana" w:hAnsi="Verdana" w:cs="Arial"/>
          <w:sz w:val="18"/>
          <w:szCs w:val="18"/>
          <w:lang w:val="nl-BE"/>
        </w:rPr>
        <w:t xml:space="preserve">verschillende </w:t>
      </w:r>
      <w:r w:rsidRPr="003B1CAC">
        <w:rPr>
          <w:rFonts w:ascii="Verdana" w:hAnsi="Verdana" w:cs="Arial"/>
          <w:sz w:val="18"/>
          <w:szCs w:val="18"/>
          <w:lang w:val="nl-BE"/>
        </w:rPr>
        <w:t>dagdos</w:t>
      </w:r>
      <w:r w:rsidR="000F73AB" w:rsidRPr="003B1CAC">
        <w:rPr>
          <w:rFonts w:ascii="Verdana" w:hAnsi="Verdana" w:cs="Arial"/>
          <w:sz w:val="18"/>
          <w:szCs w:val="18"/>
          <w:lang w:val="nl-BE"/>
        </w:rPr>
        <w:t>e</w:t>
      </w:r>
      <w:r w:rsidRPr="003B1CAC">
        <w:rPr>
          <w:rFonts w:ascii="Verdana" w:hAnsi="Verdana" w:cs="Arial"/>
          <w:sz w:val="18"/>
          <w:szCs w:val="18"/>
          <w:lang w:val="nl-BE"/>
        </w:rPr>
        <w:t xml:space="preserve">s kan de lever zeer ernstig beschadigen; bewusteloosheid treedt daarbij niet </w:t>
      </w:r>
      <w:r w:rsidR="00656F56" w:rsidRPr="003B1CAC">
        <w:rPr>
          <w:rFonts w:ascii="Verdana" w:hAnsi="Verdana" w:cs="Arial"/>
          <w:sz w:val="18"/>
          <w:szCs w:val="18"/>
          <w:lang w:val="nl-BE"/>
        </w:rPr>
        <w:t xml:space="preserve">altijd </w:t>
      </w:r>
      <w:r w:rsidRPr="003B1CAC">
        <w:rPr>
          <w:rFonts w:ascii="Verdana" w:hAnsi="Verdana" w:cs="Arial"/>
          <w:sz w:val="18"/>
          <w:szCs w:val="18"/>
          <w:lang w:val="nl-BE"/>
        </w:rPr>
        <w:t xml:space="preserve">op. Toch </w:t>
      </w:r>
      <w:r w:rsidR="004C79DE" w:rsidRPr="003B1CAC">
        <w:rPr>
          <w:rFonts w:ascii="Verdana" w:hAnsi="Verdana" w:cs="Arial"/>
          <w:sz w:val="18"/>
          <w:szCs w:val="18"/>
          <w:lang w:val="nl-BE"/>
        </w:rPr>
        <w:t xml:space="preserve">moet </w:t>
      </w:r>
      <w:r w:rsidRPr="003B1CAC">
        <w:rPr>
          <w:rFonts w:ascii="Verdana" w:hAnsi="Verdana" w:cs="Arial"/>
          <w:sz w:val="18"/>
          <w:szCs w:val="18"/>
          <w:lang w:val="nl-BE"/>
        </w:rPr>
        <w:t>onmiddellijk medische hulp worden ingeroepen</w:t>
      </w:r>
      <w:r w:rsidR="00656F56" w:rsidRPr="003B1CAC">
        <w:rPr>
          <w:rFonts w:ascii="Verdana" w:hAnsi="Verdana" w:cs="Arial"/>
          <w:sz w:val="18"/>
          <w:szCs w:val="18"/>
          <w:lang w:val="nl-BE"/>
        </w:rPr>
        <w:t xml:space="preserve"> omwille van het risico van </w:t>
      </w:r>
      <w:r w:rsidR="004C79DE" w:rsidRPr="003B1CAC">
        <w:rPr>
          <w:rFonts w:ascii="Verdana" w:hAnsi="Verdana" w:cs="Arial"/>
          <w:sz w:val="18"/>
          <w:szCs w:val="18"/>
          <w:lang w:val="nl-BE"/>
        </w:rPr>
        <w:t xml:space="preserve">onomkeerbare </w:t>
      </w:r>
      <w:r w:rsidR="00656F56" w:rsidRPr="003B1CAC">
        <w:rPr>
          <w:rFonts w:ascii="Verdana" w:hAnsi="Verdana" w:cs="Arial"/>
          <w:sz w:val="18"/>
          <w:szCs w:val="18"/>
          <w:lang w:val="nl-BE"/>
        </w:rPr>
        <w:t>leverschade</w:t>
      </w:r>
      <w:r w:rsidR="000F73AB" w:rsidRPr="003B1CAC">
        <w:rPr>
          <w:rFonts w:ascii="Verdana" w:hAnsi="Verdana" w:cs="Arial"/>
          <w:sz w:val="18"/>
          <w:szCs w:val="18"/>
          <w:lang w:val="nl-BE"/>
        </w:rPr>
        <w:t xml:space="preserve"> (zie rubriek 4.9</w:t>
      </w:r>
      <w:r w:rsidR="005C7130" w:rsidRPr="003B1CAC">
        <w:rPr>
          <w:rFonts w:ascii="Verdana" w:hAnsi="Verdana" w:cs="Arial"/>
          <w:sz w:val="18"/>
          <w:szCs w:val="18"/>
          <w:lang w:val="nl-BE"/>
        </w:rPr>
        <w:t>)</w:t>
      </w:r>
      <w:r w:rsidR="008327C4" w:rsidRPr="003B1CAC">
        <w:rPr>
          <w:rFonts w:ascii="Verdana" w:hAnsi="Verdana" w:cs="Arial"/>
          <w:sz w:val="18"/>
          <w:szCs w:val="18"/>
          <w:vertAlign w:val="superscript"/>
          <w:lang w:val="nl-BE"/>
        </w:rPr>
        <w:t>[2]</w:t>
      </w:r>
      <w:r w:rsidR="00E65DED" w:rsidRPr="003B1CAC">
        <w:rPr>
          <w:rFonts w:ascii="Verdana" w:hAnsi="Verdana" w:cs="Arial"/>
          <w:sz w:val="18"/>
          <w:szCs w:val="18"/>
          <w:lang w:val="nl-BE"/>
        </w:rPr>
        <w:t>.</w:t>
      </w:r>
    </w:p>
    <w:p w14:paraId="624B913F" w14:textId="6350781D" w:rsidR="000C6AEB" w:rsidRPr="003B1CAC" w:rsidRDefault="000C6AEB" w:rsidP="002B30E8">
      <w:pPr>
        <w:numPr>
          <w:ilvl w:val="0"/>
          <w:numId w:val="4"/>
        </w:num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Voorzichtigheid is geboden bij </w:t>
      </w:r>
      <w:r w:rsidR="00AF378E" w:rsidRPr="003B1CAC">
        <w:rPr>
          <w:rFonts w:ascii="Verdana" w:hAnsi="Verdana" w:cs="Arial"/>
          <w:sz w:val="18"/>
          <w:szCs w:val="18"/>
          <w:lang w:val="nl-BE"/>
        </w:rPr>
        <w:t xml:space="preserve">aanwezigheid van volgende risicofactoren die de drempel voor levertoxiciteit mogelijk verlagen: </w:t>
      </w:r>
      <w:r w:rsidRPr="003B1CAC">
        <w:rPr>
          <w:rFonts w:ascii="Verdana" w:hAnsi="Verdana" w:cs="Arial"/>
          <w:sz w:val="18"/>
          <w:szCs w:val="18"/>
          <w:lang w:val="nl-BE"/>
        </w:rPr>
        <w:t xml:space="preserve">leverinsufficiëntie (waaronder </w:t>
      </w:r>
      <w:r w:rsidR="00802B15" w:rsidRPr="003B1CAC">
        <w:rPr>
          <w:rFonts w:ascii="Verdana" w:hAnsi="Verdana" w:cs="Arial"/>
          <w:sz w:val="18"/>
          <w:szCs w:val="18"/>
          <w:lang w:val="nl-BE"/>
        </w:rPr>
        <w:t xml:space="preserve">het syndroom van </w:t>
      </w:r>
      <w:r w:rsidRPr="003B1CAC">
        <w:rPr>
          <w:rFonts w:ascii="Verdana" w:hAnsi="Verdana" w:cs="Arial"/>
          <w:sz w:val="18"/>
          <w:szCs w:val="18"/>
          <w:lang w:val="nl-BE"/>
        </w:rPr>
        <w:t>Gilbert), acute hepat</w:t>
      </w:r>
      <w:r w:rsidR="00E74301" w:rsidRPr="003B1CAC">
        <w:rPr>
          <w:rFonts w:ascii="Verdana" w:hAnsi="Verdana" w:cs="Arial"/>
          <w:sz w:val="18"/>
          <w:szCs w:val="18"/>
          <w:lang w:val="nl-BE"/>
        </w:rPr>
        <w:t xml:space="preserve">itis, </w:t>
      </w:r>
      <w:r w:rsidR="00D47576" w:rsidRPr="003B1CAC">
        <w:rPr>
          <w:rFonts w:ascii="Verdana" w:hAnsi="Verdana" w:cs="Arial"/>
          <w:sz w:val="18"/>
          <w:szCs w:val="18"/>
          <w:lang w:val="nl-BE"/>
        </w:rPr>
        <w:t xml:space="preserve">nierinsufficiëntie, </w:t>
      </w:r>
      <w:r w:rsidR="00E74301" w:rsidRPr="003B1CAC">
        <w:rPr>
          <w:rFonts w:ascii="Verdana" w:hAnsi="Verdana" w:cs="Arial"/>
          <w:sz w:val="18"/>
          <w:szCs w:val="18"/>
          <w:lang w:val="nl-BE"/>
        </w:rPr>
        <w:t xml:space="preserve">chronisch </w:t>
      </w:r>
      <w:r w:rsidR="007C4431" w:rsidRPr="003B1CAC">
        <w:rPr>
          <w:rFonts w:ascii="Verdana" w:hAnsi="Verdana" w:cs="Arial"/>
          <w:sz w:val="18"/>
          <w:szCs w:val="18"/>
          <w:lang w:val="nl-BE"/>
        </w:rPr>
        <w:t>alcoholgebruik</w:t>
      </w:r>
      <w:r w:rsidR="007D0686" w:rsidRPr="003B1CAC">
        <w:rPr>
          <w:rFonts w:ascii="Verdana" w:hAnsi="Verdana" w:cs="Arial"/>
          <w:sz w:val="18"/>
          <w:szCs w:val="18"/>
          <w:lang w:val="nl-BE"/>
        </w:rPr>
        <w:t xml:space="preserve"> </w:t>
      </w:r>
      <w:r w:rsidR="00E74301" w:rsidRPr="003B1CAC">
        <w:rPr>
          <w:rFonts w:ascii="Verdana" w:hAnsi="Verdana" w:cs="Arial"/>
          <w:sz w:val="18"/>
          <w:szCs w:val="18"/>
          <w:lang w:val="nl-BE"/>
        </w:rPr>
        <w:t>en zeer magere volwassenen (&lt;50 kg)</w:t>
      </w:r>
      <w:r w:rsidR="00911407" w:rsidRPr="003B1CAC">
        <w:rPr>
          <w:rFonts w:ascii="Verdana" w:hAnsi="Verdana" w:cs="Arial"/>
          <w:sz w:val="18"/>
          <w:szCs w:val="18"/>
          <w:lang w:val="nl-BE"/>
        </w:rPr>
        <w:t>. De</w:t>
      </w:r>
      <w:r w:rsidR="00AF378E" w:rsidRPr="003B1CAC">
        <w:rPr>
          <w:rFonts w:ascii="Verdana" w:hAnsi="Verdana" w:cs="Arial"/>
          <w:sz w:val="18"/>
          <w:szCs w:val="18"/>
          <w:lang w:val="nl-BE"/>
        </w:rPr>
        <w:t xml:space="preserve"> </w:t>
      </w:r>
      <w:r w:rsidR="00911407" w:rsidRPr="003B1CAC">
        <w:rPr>
          <w:rFonts w:ascii="Verdana" w:hAnsi="Verdana" w:cs="Arial"/>
          <w:sz w:val="18"/>
          <w:szCs w:val="18"/>
          <w:lang w:val="nl-BE"/>
        </w:rPr>
        <w:t xml:space="preserve">dosering </w:t>
      </w:r>
      <w:r w:rsidR="00766561" w:rsidRPr="003B1CAC">
        <w:rPr>
          <w:rFonts w:ascii="Verdana" w:hAnsi="Verdana" w:cs="Arial"/>
          <w:sz w:val="18"/>
          <w:szCs w:val="18"/>
          <w:lang w:val="nl-BE"/>
        </w:rPr>
        <w:t xml:space="preserve">moet </w:t>
      </w:r>
      <w:r w:rsidR="00911407" w:rsidRPr="003B1CAC">
        <w:rPr>
          <w:rFonts w:ascii="Verdana" w:hAnsi="Verdana" w:cs="Arial"/>
          <w:sz w:val="18"/>
          <w:szCs w:val="18"/>
          <w:lang w:val="nl-BE"/>
        </w:rPr>
        <w:t xml:space="preserve">in deze gevallen </w:t>
      </w:r>
      <w:r w:rsidR="00766561" w:rsidRPr="003B1CAC">
        <w:rPr>
          <w:rFonts w:ascii="Verdana" w:hAnsi="Verdana" w:cs="Arial"/>
          <w:sz w:val="18"/>
          <w:szCs w:val="18"/>
          <w:lang w:val="nl-BE"/>
        </w:rPr>
        <w:t xml:space="preserve">worden </w:t>
      </w:r>
      <w:r w:rsidR="00911407" w:rsidRPr="003B1CAC">
        <w:rPr>
          <w:rFonts w:ascii="Verdana" w:hAnsi="Verdana" w:cs="Arial"/>
          <w:sz w:val="18"/>
          <w:szCs w:val="18"/>
          <w:lang w:val="nl-BE"/>
        </w:rPr>
        <w:t xml:space="preserve">aangepast </w:t>
      </w:r>
      <w:r w:rsidRPr="003B1CAC">
        <w:rPr>
          <w:rFonts w:ascii="Verdana" w:hAnsi="Verdana" w:cs="Arial"/>
          <w:sz w:val="18"/>
          <w:szCs w:val="18"/>
          <w:lang w:val="nl-BE"/>
        </w:rPr>
        <w:t>(zie rubriek 4.2)</w:t>
      </w:r>
      <w:r w:rsidR="005A414A" w:rsidRPr="003B1CAC">
        <w:rPr>
          <w:rFonts w:ascii="Verdana" w:hAnsi="Verdana" w:cs="Arial"/>
          <w:sz w:val="18"/>
          <w:szCs w:val="18"/>
          <w:vertAlign w:val="superscript"/>
          <w:lang w:val="nl-BE"/>
        </w:rPr>
        <w:t>[2,3]</w:t>
      </w:r>
      <w:r w:rsidRPr="003B1CAC">
        <w:rPr>
          <w:rFonts w:ascii="Verdana" w:hAnsi="Verdana" w:cs="Arial"/>
          <w:sz w:val="18"/>
          <w:szCs w:val="18"/>
          <w:lang w:val="nl-BE"/>
        </w:rPr>
        <w:t>.</w:t>
      </w:r>
    </w:p>
    <w:p w14:paraId="080FFF26" w14:textId="46A8E5F6" w:rsidR="00E65DED" w:rsidRPr="003B1CAC" w:rsidRDefault="002A0DA7" w:rsidP="002B30E8">
      <w:pPr>
        <w:numPr>
          <w:ilvl w:val="0"/>
          <w:numId w:val="4"/>
        </w:num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G</w:t>
      </w:r>
      <w:r w:rsidR="00E74301" w:rsidRPr="003B1CAC">
        <w:rPr>
          <w:rFonts w:ascii="Verdana" w:hAnsi="Verdana" w:cs="Arial"/>
          <w:sz w:val="18"/>
          <w:szCs w:val="18"/>
          <w:lang w:val="nl-BE"/>
        </w:rPr>
        <w:t>elijktijdige behandeling met geneesmiddelen die de leverfunctie beïnvloeden, d</w:t>
      </w:r>
      <w:r w:rsidR="000F7806" w:rsidRPr="003B1CAC">
        <w:rPr>
          <w:rFonts w:ascii="Verdana" w:hAnsi="Verdana" w:cs="Arial"/>
          <w:sz w:val="18"/>
          <w:szCs w:val="18"/>
          <w:lang w:val="nl-BE"/>
        </w:rPr>
        <w:t>ehy</w:t>
      </w:r>
      <w:r w:rsidR="005A0193" w:rsidRPr="003B1CAC">
        <w:rPr>
          <w:rFonts w:ascii="Verdana" w:hAnsi="Verdana" w:cs="Arial"/>
          <w:sz w:val="18"/>
          <w:szCs w:val="18"/>
          <w:lang w:val="nl-BE"/>
        </w:rPr>
        <w:t xml:space="preserve">dratie en </w:t>
      </w:r>
      <w:r w:rsidR="000F7806" w:rsidRPr="003B1CAC">
        <w:rPr>
          <w:rFonts w:ascii="Verdana" w:hAnsi="Verdana" w:cs="Arial"/>
          <w:sz w:val="18"/>
          <w:szCs w:val="18"/>
          <w:lang w:val="nl-BE"/>
        </w:rPr>
        <w:t>chronische ondervoeding</w:t>
      </w:r>
      <w:r w:rsidR="00A42215" w:rsidRPr="003B1CAC">
        <w:rPr>
          <w:rFonts w:ascii="Verdana" w:hAnsi="Verdana" w:cs="Arial"/>
          <w:sz w:val="18"/>
          <w:szCs w:val="18"/>
          <w:lang w:val="nl-BE"/>
        </w:rPr>
        <w:t xml:space="preserve"> (lage reserves van hepatisch glutat</w:t>
      </w:r>
      <w:r w:rsidR="00BA6E45" w:rsidRPr="003B1CAC">
        <w:rPr>
          <w:rFonts w:ascii="Verdana" w:hAnsi="Verdana" w:cs="Arial"/>
          <w:sz w:val="18"/>
          <w:szCs w:val="18"/>
          <w:lang w:val="nl-BE"/>
        </w:rPr>
        <w:t>h</w:t>
      </w:r>
      <w:r w:rsidR="00A42215" w:rsidRPr="003B1CAC">
        <w:rPr>
          <w:rFonts w:ascii="Verdana" w:hAnsi="Verdana" w:cs="Arial"/>
          <w:sz w:val="18"/>
          <w:szCs w:val="18"/>
          <w:lang w:val="nl-BE"/>
        </w:rPr>
        <w:t xml:space="preserve">ion) </w:t>
      </w:r>
      <w:r w:rsidR="005A0193" w:rsidRPr="003B1CAC">
        <w:rPr>
          <w:rFonts w:ascii="Verdana" w:hAnsi="Verdana" w:cs="Arial"/>
          <w:sz w:val="18"/>
          <w:szCs w:val="18"/>
          <w:lang w:val="nl-BE"/>
        </w:rPr>
        <w:t xml:space="preserve">zijn </w:t>
      </w:r>
      <w:r w:rsidR="008E5D93" w:rsidRPr="003B1CAC">
        <w:rPr>
          <w:rFonts w:ascii="Verdana" w:hAnsi="Verdana" w:cs="Arial"/>
          <w:sz w:val="18"/>
          <w:szCs w:val="18"/>
          <w:lang w:val="nl-BE"/>
        </w:rPr>
        <w:t xml:space="preserve">ook </w:t>
      </w:r>
      <w:r w:rsidR="005A0193" w:rsidRPr="003B1CAC">
        <w:rPr>
          <w:rFonts w:ascii="Verdana" w:hAnsi="Verdana" w:cs="Arial"/>
          <w:sz w:val="18"/>
          <w:szCs w:val="18"/>
          <w:lang w:val="nl-BE"/>
        </w:rPr>
        <w:t xml:space="preserve">risicofactoren voor het optreden van </w:t>
      </w:r>
      <w:proofErr w:type="spellStart"/>
      <w:r w:rsidR="005A0193" w:rsidRPr="003B1CAC">
        <w:rPr>
          <w:rFonts w:ascii="Verdana" w:hAnsi="Verdana" w:cs="Arial"/>
          <w:sz w:val="18"/>
          <w:szCs w:val="18"/>
          <w:lang w:val="nl-BE"/>
        </w:rPr>
        <w:t>hepatotoxiciteit</w:t>
      </w:r>
      <w:proofErr w:type="spellEnd"/>
      <w:r w:rsidR="005A0193" w:rsidRPr="003B1CAC">
        <w:rPr>
          <w:rFonts w:ascii="Verdana" w:hAnsi="Verdana" w:cs="Arial"/>
          <w:sz w:val="18"/>
          <w:szCs w:val="18"/>
          <w:lang w:val="nl-BE"/>
        </w:rPr>
        <w:t xml:space="preserve"> </w:t>
      </w:r>
      <w:r w:rsidR="00E74301" w:rsidRPr="003B1CAC">
        <w:rPr>
          <w:rFonts w:ascii="Verdana" w:hAnsi="Verdana" w:cs="Arial"/>
          <w:sz w:val="18"/>
          <w:szCs w:val="18"/>
          <w:lang w:val="nl-BE"/>
        </w:rPr>
        <w:t xml:space="preserve">en kunnen de drempel voor levertoxiciteit </w:t>
      </w:r>
      <w:r w:rsidRPr="003B1CAC">
        <w:rPr>
          <w:rFonts w:ascii="Verdana" w:hAnsi="Verdana" w:cs="Arial"/>
          <w:sz w:val="18"/>
          <w:szCs w:val="18"/>
          <w:lang w:val="nl-BE"/>
        </w:rPr>
        <w:t xml:space="preserve">mogelijk </w:t>
      </w:r>
      <w:r w:rsidR="00E74301" w:rsidRPr="003B1CAC">
        <w:rPr>
          <w:rFonts w:ascii="Verdana" w:hAnsi="Verdana" w:cs="Arial"/>
          <w:sz w:val="18"/>
          <w:szCs w:val="18"/>
          <w:lang w:val="nl-BE"/>
        </w:rPr>
        <w:t>verlagen</w:t>
      </w:r>
      <w:r w:rsidR="00395D70" w:rsidRPr="003B1CAC">
        <w:rPr>
          <w:rFonts w:ascii="Verdana" w:hAnsi="Verdana" w:cs="Arial"/>
          <w:sz w:val="18"/>
          <w:szCs w:val="18"/>
          <w:vertAlign w:val="superscript"/>
          <w:lang w:val="nl-BE"/>
        </w:rPr>
        <w:t>[</w:t>
      </w:r>
      <w:r w:rsidR="00A913B5" w:rsidRPr="003B1CAC">
        <w:rPr>
          <w:rFonts w:ascii="Verdana" w:hAnsi="Verdana" w:cs="Arial"/>
          <w:sz w:val="18"/>
          <w:szCs w:val="18"/>
          <w:vertAlign w:val="superscript"/>
          <w:lang w:val="nl-BE"/>
        </w:rPr>
        <w:t>2</w:t>
      </w:r>
      <w:r w:rsidR="00A801CC" w:rsidRPr="003B1CAC">
        <w:rPr>
          <w:rFonts w:ascii="Verdana" w:hAnsi="Verdana" w:cs="Arial"/>
          <w:sz w:val="18"/>
          <w:szCs w:val="18"/>
          <w:vertAlign w:val="superscript"/>
          <w:lang w:val="nl-BE"/>
        </w:rPr>
        <w:t>,3</w:t>
      </w:r>
      <w:r w:rsidR="00395D70" w:rsidRPr="003B1CAC">
        <w:rPr>
          <w:rFonts w:ascii="Verdana" w:hAnsi="Verdana" w:cs="Arial"/>
          <w:sz w:val="18"/>
          <w:szCs w:val="18"/>
          <w:vertAlign w:val="superscript"/>
          <w:lang w:val="nl-BE"/>
        </w:rPr>
        <w:t>]</w:t>
      </w:r>
      <w:r w:rsidR="000F7806" w:rsidRPr="003B1CAC">
        <w:rPr>
          <w:rFonts w:ascii="Verdana" w:hAnsi="Verdana" w:cs="Arial"/>
          <w:sz w:val="18"/>
          <w:szCs w:val="18"/>
          <w:lang w:val="nl-BE"/>
        </w:rPr>
        <w:t xml:space="preserve">. </w:t>
      </w:r>
      <w:r w:rsidR="007D0686" w:rsidRPr="003B1CAC">
        <w:rPr>
          <w:rFonts w:ascii="Verdana" w:hAnsi="Verdana" w:cs="Arial"/>
          <w:sz w:val="18"/>
          <w:szCs w:val="18"/>
          <w:lang w:val="nl-BE"/>
        </w:rPr>
        <w:t xml:space="preserve">De maximale dagdosis mag bij deze patiënten zeker niet </w:t>
      </w:r>
      <w:r w:rsidR="008E5D93" w:rsidRPr="003B1CAC">
        <w:rPr>
          <w:rFonts w:ascii="Verdana" w:hAnsi="Verdana" w:cs="Arial"/>
          <w:sz w:val="18"/>
          <w:szCs w:val="18"/>
          <w:lang w:val="nl-BE"/>
        </w:rPr>
        <w:t xml:space="preserve">worden </w:t>
      </w:r>
      <w:r w:rsidR="007D0686" w:rsidRPr="003B1CAC">
        <w:rPr>
          <w:rFonts w:ascii="Verdana" w:hAnsi="Verdana" w:cs="Arial"/>
          <w:sz w:val="18"/>
          <w:szCs w:val="18"/>
          <w:lang w:val="nl-BE"/>
        </w:rPr>
        <w:t>overschreden.</w:t>
      </w:r>
    </w:p>
    <w:p w14:paraId="68BBFF70" w14:textId="6650F006" w:rsidR="0024269C" w:rsidRPr="003B1CAC" w:rsidRDefault="0024269C" w:rsidP="002B30E8">
      <w:pPr>
        <w:numPr>
          <w:ilvl w:val="0"/>
          <w:numId w:val="4"/>
        </w:num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Voorzichtigheid is geboden wanneer flucloxacilline gelijktijdig met paracetamol wordt toegediend </w:t>
      </w:r>
      <w:r w:rsidR="008E5D93" w:rsidRPr="003B1CAC">
        <w:rPr>
          <w:rFonts w:ascii="Verdana" w:hAnsi="Verdana" w:cs="Arial"/>
          <w:sz w:val="18"/>
          <w:szCs w:val="18"/>
          <w:lang w:val="nl-BE"/>
        </w:rPr>
        <w:t xml:space="preserve">omwille van </w:t>
      </w:r>
      <w:r w:rsidRPr="003B1CAC">
        <w:rPr>
          <w:rFonts w:ascii="Verdana" w:hAnsi="Verdana" w:cs="Arial"/>
          <w:sz w:val="18"/>
          <w:szCs w:val="18"/>
          <w:lang w:val="nl-BE"/>
        </w:rPr>
        <w:t>het verhoogde risico op hoge anion gap metabole acidose (HAGMA). Met name patiënten met ernstige nierinsufficiëntie, sepsis of ondervoeding lopen een hoog risico op HAGMA, vooral als de maximale dagelijkse doses paracetamol worden gebruikt.</w:t>
      </w:r>
      <w:r w:rsidR="00377D66" w:rsidRPr="003B1CAC">
        <w:rPr>
          <w:rFonts w:ascii="Verdana" w:hAnsi="Verdana" w:cs="Arial"/>
          <w:sz w:val="18"/>
          <w:szCs w:val="18"/>
          <w:lang w:val="nl-BE"/>
        </w:rPr>
        <w:t xml:space="preserve"> </w:t>
      </w:r>
      <w:r w:rsidRPr="003B1CAC">
        <w:rPr>
          <w:rFonts w:ascii="Verdana" w:hAnsi="Verdana" w:cs="Arial"/>
          <w:sz w:val="18"/>
          <w:szCs w:val="18"/>
          <w:lang w:val="nl-BE"/>
        </w:rPr>
        <w:t>Na gelijktijdige toediening van flucloxacilline en paracetamol wordt nauwlettende controle aanbevolen, waaronder de concentratie 5-oxoproline in de urine, om het optreden van zuur–base-aandoeningen, met name HAGMA, op te sporen.</w:t>
      </w:r>
      <w:r w:rsidR="00377D66" w:rsidRPr="003B1CAC">
        <w:rPr>
          <w:rFonts w:ascii="Verdana" w:hAnsi="Verdana" w:cs="Arial"/>
          <w:sz w:val="18"/>
          <w:szCs w:val="18"/>
          <w:lang w:val="nl-BE"/>
        </w:rPr>
        <w:t xml:space="preserve"> </w:t>
      </w:r>
      <w:r w:rsidRPr="003B1CAC">
        <w:rPr>
          <w:rFonts w:ascii="Verdana" w:hAnsi="Verdana" w:cs="Arial"/>
          <w:sz w:val="18"/>
          <w:szCs w:val="18"/>
          <w:lang w:val="nl-BE"/>
        </w:rPr>
        <w:t xml:space="preserve">Als de behandeling met flucloxacilline wordt voortgezet na het stopzetten van de toediening van paracetamol, wordt aanbevolen om </w:t>
      </w:r>
      <w:r w:rsidR="00AE368E" w:rsidRPr="003B1CAC">
        <w:rPr>
          <w:rFonts w:ascii="Verdana" w:hAnsi="Verdana" w:cs="Arial"/>
          <w:sz w:val="18"/>
          <w:szCs w:val="18"/>
          <w:lang w:val="nl-BE"/>
        </w:rPr>
        <w:t>na te gaan</w:t>
      </w:r>
      <w:r w:rsidRPr="003B1CAC">
        <w:rPr>
          <w:rFonts w:ascii="Verdana" w:hAnsi="Verdana" w:cs="Arial"/>
          <w:sz w:val="18"/>
          <w:szCs w:val="18"/>
          <w:lang w:val="nl-BE"/>
        </w:rPr>
        <w:t xml:space="preserve"> dat er geen tekenen van HAGMA aanwezig zijn, aangezien de mogelijkheid bestaat dat het klinische beeld van HAGMA aanhoudt door het gebruik van flucloxacilline (zie rubriek 4.5).</w:t>
      </w:r>
      <w:r w:rsidR="00377D66" w:rsidRPr="003B1CAC">
        <w:rPr>
          <w:rFonts w:ascii="Verdana" w:hAnsi="Verdana" w:cs="Arial"/>
          <w:sz w:val="18"/>
          <w:szCs w:val="18"/>
          <w:vertAlign w:val="superscript"/>
          <w:lang w:val="nl-BE"/>
        </w:rPr>
        <w:t>[11]</w:t>
      </w:r>
    </w:p>
    <w:p w14:paraId="0F435318" w14:textId="7498369C" w:rsidR="00E65DED" w:rsidRPr="003B1CAC" w:rsidRDefault="00E65DED" w:rsidP="002B30E8">
      <w:pPr>
        <w:numPr>
          <w:ilvl w:val="0"/>
          <w:numId w:val="4"/>
        </w:num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Bij </w:t>
      </w:r>
      <w:r w:rsidR="000243E4" w:rsidRPr="003B1CAC">
        <w:rPr>
          <w:rFonts w:ascii="Verdana" w:hAnsi="Verdana" w:cs="Arial"/>
          <w:sz w:val="18"/>
          <w:szCs w:val="18"/>
          <w:lang w:val="nl-BE"/>
        </w:rPr>
        <w:t xml:space="preserve">kinderen en </w:t>
      </w:r>
      <w:r w:rsidRPr="003B1CAC">
        <w:rPr>
          <w:rFonts w:ascii="Verdana" w:hAnsi="Verdana" w:cs="Arial"/>
          <w:sz w:val="18"/>
          <w:szCs w:val="18"/>
          <w:lang w:val="nl-BE"/>
        </w:rPr>
        <w:t xml:space="preserve">adolescenten die worden </w:t>
      </w:r>
      <w:r w:rsidR="008E5D93" w:rsidRPr="003B1CAC">
        <w:rPr>
          <w:rFonts w:ascii="Verdana" w:hAnsi="Verdana" w:cs="Arial"/>
          <w:sz w:val="18"/>
          <w:szCs w:val="18"/>
          <w:lang w:val="nl-BE"/>
        </w:rPr>
        <w:t xml:space="preserve">behandeld </w:t>
      </w:r>
      <w:r w:rsidRPr="003B1CAC">
        <w:rPr>
          <w:rFonts w:ascii="Verdana" w:hAnsi="Verdana" w:cs="Arial"/>
          <w:sz w:val="18"/>
          <w:szCs w:val="18"/>
          <w:lang w:val="nl-BE"/>
        </w:rPr>
        <w:t>met 60</w:t>
      </w:r>
      <w:r w:rsidR="0099611E" w:rsidRPr="003B1CAC">
        <w:rPr>
          <w:rFonts w:ascii="Verdana" w:hAnsi="Verdana" w:cs="Arial"/>
          <w:sz w:val="18"/>
          <w:szCs w:val="18"/>
          <w:lang w:val="nl-BE"/>
        </w:rPr>
        <w:t xml:space="preserve"> </w:t>
      </w:r>
      <w:r w:rsidRPr="003B1CAC">
        <w:rPr>
          <w:rFonts w:ascii="Verdana" w:hAnsi="Verdana" w:cs="Arial"/>
          <w:sz w:val="18"/>
          <w:szCs w:val="18"/>
          <w:lang w:val="nl-BE"/>
        </w:rPr>
        <w:t>mg/kg paracetamol</w:t>
      </w:r>
      <w:r w:rsidR="0099611E" w:rsidRPr="003B1CAC">
        <w:rPr>
          <w:rFonts w:ascii="Verdana" w:hAnsi="Verdana" w:cs="Arial"/>
          <w:sz w:val="18"/>
          <w:szCs w:val="18"/>
          <w:lang w:val="nl-BE"/>
        </w:rPr>
        <w:t xml:space="preserve"> per da</w:t>
      </w:r>
      <w:r w:rsidRPr="003B1CAC">
        <w:rPr>
          <w:rFonts w:ascii="Verdana" w:hAnsi="Verdana" w:cs="Arial"/>
          <w:sz w:val="18"/>
          <w:szCs w:val="18"/>
          <w:lang w:val="nl-BE"/>
        </w:rPr>
        <w:t>g, is de combinatie met een ander koortswerend middel niet gerechtvaardigd, behalve in het geval van ineffectiviteit</w:t>
      </w:r>
      <w:r w:rsidR="00C23301" w:rsidRPr="003B1CAC">
        <w:rPr>
          <w:rFonts w:ascii="Verdana" w:hAnsi="Verdana" w:cs="Arial"/>
          <w:sz w:val="18"/>
          <w:szCs w:val="18"/>
          <w:vertAlign w:val="superscript"/>
          <w:lang w:val="nl-BE"/>
        </w:rPr>
        <w:t>[2]</w:t>
      </w:r>
      <w:r w:rsidR="00A05722" w:rsidRPr="003B1CAC">
        <w:rPr>
          <w:rFonts w:ascii="Verdana" w:hAnsi="Verdana" w:cs="Arial"/>
          <w:sz w:val="18"/>
          <w:szCs w:val="18"/>
          <w:lang w:val="nl-BE"/>
        </w:rPr>
        <w:t>.</w:t>
      </w:r>
    </w:p>
    <w:p w14:paraId="24D7664F" w14:textId="0E73E58D" w:rsidR="004160F5" w:rsidRPr="003B1CAC" w:rsidRDefault="004160F5" w:rsidP="002B30E8">
      <w:pPr>
        <w:numPr>
          <w:ilvl w:val="0"/>
          <w:numId w:val="4"/>
        </w:num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Voorzichtigheid is geboden bij toediening van paracetamol aan patiënten met glucose-6-fosfaat dehydrogenase deficiëntie en </w:t>
      </w:r>
      <w:proofErr w:type="spellStart"/>
      <w:r w:rsidRPr="003B1CAC">
        <w:rPr>
          <w:rFonts w:ascii="Verdana" w:hAnsi="Verdana" w:cs="Arial"/>
          <w:sz w:val="18"/>
          <w:szCs w:val="18"/>
          <w:lang w:val="nl-BE"/>
        </w:rPr>
        <w:t>haemolytische</w:t>
      </w:r>
      <w:proofErr w:type="spellEnd"/>
      <w:r w:rsidRPr="003B1CAC">
        <w:rPr>
          <w:rFonts w:ascii="Verdana" w:hAnsi="Verdana" w:cs="Arial"/>
          <w:sz w:val="18"/>
          <w:szCs w:val="18"/>
          <w:lang w:val="nl-BE"/>
        </w:rPr>
        <w:t xml:space="preserve"> anemie</w:t>
      </w:r>
      <w:r w:rsidR="00543925" w:rsidRPr="003B1CAC">
        <w:rPr>
          <w:rFonts w:ascii="Verdana" w:hAnsi="Verdana" w:cs="Arial"/>
          <w:sz w:val="18"/>
          <w:szCs w:val="18"/>
          <w:vertAlign w:val="superscript"/>
          <w:lang w:val="nl-BE"/>
        </w:rPr>
        <w:t>[2]</w:t>
      </w:r>
      <w:r w:rsidRPr="003B1CAC">
        <w:rPr>
          <w:rFonts w:ascii="Verdana" w:hAnsi="Verdana" w:cs="Arial"/>
          <w:sz w:val="18"/>
          <w:szCs w:val="18"/>
          <w:lang w:val="nl-BE"/>
        </w:rPr>
        <w:t>.</w:t>
      </w:r>
    </w:p>
    <w:p w14:paraId="767CAD14" w14:textId="63B4BB54" w:rsidR="00F27323" w:rsidRPr="003B1CAC" w:rsidRDefault="00F27323" w:rsidP="002B30E8">
      <w:pPr>
        <w:numPr>
          <w:ilvl w:val="0"/>
          <w:numId w:val="4"/>
        </w:num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Bij hoge koorts</w:t>
      </w:r>
      <w:r w:rsidR="00B443F5" w:rsidRPr="003B1CAC">
        <w:rPr>
          <w:rFonts w:ascii="Verdana" w:hAnsi="Verdana" w:cs="Arial"/>
          <w:sz w:val="18"/>
          <w:szCs w:val="18"/>
          <w:lang w:val="nl-BE"/>
        </w:rPr>
        <w:t>,</w:t>
      </w:r>
      <w:r w:rsidRPr="003B1CAC">
        <w:rPr>
          <w:rFonts w:ascii="Verdana" w:hAnsi="Verdana" w:cs="Arial"/>
          <w:sz w:val="18"/>
          <w:szCs w:val="18"/>
          <w:lang w:val="nl-BE"/>
        </w:rPr>
        <w:t xml:space="preserve"> of tekenen van secundaire infectie of voortduren van de klachten, </w:t>
      </w:r>
      <w:r w:rsidR="008E5D93" w:rsidRPr="003B1CAC">
        <w:rPr>
          <w:rFonts w:ascii="Verdana" w:hAnsi="Verdana" w:cs="Arial"/>
          <w:sz w:val="18"/>
          <w:szCs w:val="18"/>
          <w:lang w:val="nl-BE"/>
        </w:rPr>
        <w:t xml:space="preserve">moet </w:t>
      </w:r>
      <w:r w:rsidRPr="003B1CAC">
        <w:rPr>
          <w:rFonts w:ascii="Verdana" w:hAnsi="Verdana" w:cs="Arial"/>
          <w:sz w:val="18"/>
          <w:szCs w:val="18"/>
          <w:lang w:val="nl-BE"/>
        </w:rPr>
        <w:t xml:space="preserve">een arts </w:t>
      </w:r>
      <w:r w:rsidR="008E5D93" w:rsidRPr="003B1CAC">
        <w:rPr>
          <w:rFonts w:ascii="Verdana" w:hAnsi="Verdana" w:cs="Arial"/>
          <w:sz w:val="18"/>
          <w:szCs w:val="18"/>
          <w:lang w:val="nl-BE"/>
        </w:rPr>
        <w:t xml:space="preserve">worden </w:t>
      </w:r>
      <w:r w:rsidRPr="003B1CAC">
        <w:rPr>
          <w:rFonts w:ascii="Verdana" w:hAnsi="Verdana" w:cs="Arial"/>
          <w:sz w:val="18"/>
          <w:szCs w:val="18"/>
          <w:lang w:val="nl-BE"/>
        </w:rPr>
        <w:t>geraadpleegd</w:t>
      </w:r>
      <w:r w:rsidR="00100DA0" w:rsidRPr="003B1CAC">
        <w:rPr>
          <w:rFonts w:ascii="Verdana" w:hAnsi="Verdana" w:cs="Arial"/>
          <w:sz w:val="18"/>
          <w:szCs w:val="18"/>
          <w:vertAlign w:val="superscript"/>
          <w:lang w:val="nl-BE"/>
        </w:rPr>
        <w:t>[2]</w:t>
      </w:r>
      <w:r w:rsidRPr="003B1CAC">
        <w:rPr>
          <w:rFonts w:ascii="Verdana" w:hAnsi="Verdana" w:cs="Arial"/>
          <w:sz w:val="18"/>
          <w:szCs w:val="18"/>
          <w:lang w:val="nl-BE"/>
        </w:rPr>
        <w:t>.</w:t>
      </w:r>
    </w:p>
    <w:p w14:paraId="2808C3F0" w14:textId="77777777" w:rsidR="006D4700" w:rsidRPr="003B1CAC" w:rsidRDefault="006D4700" w:rsidP="00142DDB">
      <w:pPr>
        <w:autoSpaceDE w:val="0"/>
        <w:autoSpaceDN w:val="0"/>
        <w:adjustRightInd w:val="0"/>
        <w:rPr>
          <w:rFonts w:ascii="Verdana" w:hAnsi="Verdana" w:cs="Times-Roman"/>
          <w:sz w:val="18"/>
          <w:szCs w:val="18"/>
          <w:lang w:val="nl-BE" w:eastAsia="fr-FR"/>
        </w:rPr>
      </w:pPr>
    </w:p>
    <w:p w14:paraId="7351A8C6" w14:textId="79C7EB5E" w:rsidR="00390E3A" w:rsidRPr="003B1CAC" w:rsidRDefault="006D4700" w:rsidP="002B30E8">
      <w:pPr>
        <w:tabs>
          <w:tab w:val="left" w:pos="2977"/>
          <w:tab w:val="left" w:pos="3402"/>
          <w:tab w:val="left" w:pos="3969"/>
        </w:tabs>
        <w:rPr>
          <w:rFonts w:ascii="Verdana" w:hAnsi="Verdana" w:cs="Arial"/>
          <w:color w:val="0000FF"/>
          <w:sz w:val="18"/>
          <w:szCs w:val="18"/>
          <w:lang w:val="en-GB"/>
        </w:rPr>
      </w:pPr>
      <w:r w:rsidRPr="003B1CAC">
        <w:rPr>
          <w:rFonts w:ascii="Verdana" w:hAnsi="Verdana" w:cs="Arial"/>
          <w:color w:val="0000FF"/>
          <w:sz w:val="18"/>
          <w:szCs w:val="18"/>
          <w:lang w:val="en-GB"/>
        </w:rPr>
        <w:t xml:space="preserve">&lt; </w:t>
      </w:r>
      <w:r w:rsidR="006F263E" w:rsidRPr="003B1CAC">
        <w:rPr>
          <w:rFonts w:ascii="Verdana" w:hAnsi="Verdana" w:cs="Arial"/>
          <w:color w:val="0000FF"/>
          <w:sz w:val="18"/>
          <w:szCs w:val="18"/>
          <w:lang w:val="en-GB"/>
        </w:rPr>
        <w:t>De g</w:t>
      </w:r>
      <w:r w:rsidRPr="003B1CAC">
        <w:rPr>
          <w:rFonts w:ascii="Verdana" w:hAnsi="Verdana" w:cs="Arial"/>
          <w:color w:val="0000FF"/>
          <w:sz w:val="18"/>
          <w:szCs w:val="18"/>
          <w:lang w:val="en-GB"/>
        </w:rPr>
        <w:t xml:space="preserve">uideline “Excipients in the label and package leaflet of medicinal products for human use” </w:t>
      </w:r>
      <w:proofErr w:type="spellStart"/>
      <w:r w:rsidR="005002F1" w:rsidRPr="003B1CAC">
        <w:rPr>
          <w:rFonts w:ascii="Verdana" w:hAnsi="Verdana" w:cs="Arial"/>
          <w:color w:val="0000FF"/>
          <w:sz w:val="18"/>
          <w:szCs w:val="18"/>
          <w:lang w:val="en-GB"/>
        </w:rPr>
        <w:t>moet</w:t>
      </w:r>
      <w:proofErr w:type="spellEnd"/>
      <w:r w:rsidR="005002F1" w:rsidRPr="003B1CAC">
        <w:rPr>
          <w:rFonts w:ascii="Verdana" w:hAnsi="Verdana" w:cs="Arial"/>
          <w:color w:val="0000FF"/>
          <w:sz w:val="18"/>
          <w:szCs w:val="18"/>
          <w:lang w:val="en-GB"/>
        </w:rPr>
        <w:t xml:space="preserve"> </w:t>
      </w:r>
      <w:proofErr w:type="spellStart"/>
      <w:r w:rsidR="005002F1" w:rsidRPr="003B1CAC">
        <w:rPr>
          <w:rFonts w:ascii="Verdana" w:hAnsi="Verdana" w:cs="Arial"/>
          <w:color w:val="0000FF"/>
          <w:sz w:val="18"/>
          <w:szCs w:val="18"/>
          <w:lang w:val="en-GB"/>
        </w:rPr>
        <w:t>worden</w:t>
      </w:r>
      <w:proofErr w:type="spellEnd"/>
      <w:r w:rsidR="005002F1" w:rsidRPr="003B1CAC">
        <w:rPr>
          <w:rFonts w:ascii="Verdana" w:hAnsi="Verdana" w:cs="Arial"/>
          <w:color w:val="0000FF"/>
          <w:sz w:val="18"/>
          <w:szCs w:val="18"/>
          <w:lang w:val="en-GB"/>
        </w:rPr>
        <w:t xml:space="preserve"> </w:t>
      </w:r>
      <w:proofErr w:type="spellStart"/>
      <w:r w:rsidRPr="003B1CAC">
        <w:rPr>
          <w:rFonts w:ascii="Verdana" w:hAnsi="Verdana" w:cs="Arial"/>
          <w:color w:val="0000FF"/>
          <w:sz w:val="18"/>
          <w:szCs w:val="18"/>
          <w:lang w:val="en-GB"/>
        </w:rPr>
        <w:t>toegepast</w:t>
      </w:r>
      <w:proofErr w:type="spellEnd"/>
      <w:r w:rsidRPr="003B1CAC">
        <w:rPr>
          <w:rFonts w:ascii="Verdana" w:hAnsi="Verdana" w:cs="Arial"/>
          <w:color w:val="0000FF"/>
          <w:sz w:val="18"/>
          <w:szCs w:val="18"/>
          <w:lang w:val="en-GB"/>
        </w:rPr>
        <w:t>.&gt;</w:t>
      </w:r>
    </w:p>
    <w:p w14:paraId="1EC4A4ED" w14:textId="77777777" w:rsidR="00390E3A" w:rsidRPr="003B1CAC" w:rsidRDefault="00390E3A" w:rsidP="002B30E8">
      <w:pPr>
        <w:autoSpaceDE w:val="0"/>
        <w:autoSpaceDN w:val="0"/>
        <w:adjustRightInd w:val="0"/>
        <w:rPr>
          <w:rFonts w:ascii="Verdana" w:hAnsi="Verdana" w:cs="Times-Roman"/>
          <w:sz w:val="18"/>
          <w:szCs w:val="18"/>
          <w:lang w:val="en-GB" w:eastAsia="fr-FR"/>
        </w:rPr>
      </w:pPr>
    </w:p>
    <w:p w14:paraId="78F7C846" w14:textId="77777777" w:rsidR="003D0A6A" w:rsidRPr="003B1CAC" w:rsidRDefault="003D0A6A" w:rsidP="002B30E8">
      <w:pPr>
        <w:autoSpaceDE w:val="0"/>
        <w:autoSpaceDN w:val="0"/>
        <w:adjustRightInd w:val="0"/>
        <w:rPr>
          <w:rFonts w:ascii="Verdana" w:hAnsi="Verdana" w:cs="Times-Roman"/>
          <w:sz w:val="18"/>
          <w:szCs w:val="18"/>
          <w:lang w:val="en-GB" w:eastAsia="fr-FR"/>
        </w:rPr>
      </w:pPr>
    </w:p>
    <w:p w14:paraId="54CB1DC3" w14:textId="77777777" w:rsidR="008A2108" w:rsidRPr="003B1CAC" w:rsidRDefault="008A2108" w:rsidP="002B30E8">
      <w:pPr>
        <w:tabs>
          <w:tab w:val="left" w:pos="2977"/>
          <w:tab w:val="left" w:pos="3402"/>
          <w:tab w:val="left" w:pos="3969"/>
        </w:tabs>
        <w:rPr>
          <w:rFonts w:ascii="Verdana" w:hAnsi="Verdana" w:cs="Arial"/>
          <w:b/>
          <w:sz w:val="18"/>
          <w:szCs w:val="18"/>
          <w:lang w:val="nl-BE"/>
        </w:rPr>
      </w:pPr>
      <w:r w:rsidRPr="003B1CAC">
        <w:rPr>
          <w:rFonts w:ascii="Verdana" w:hAnsi="Verdana" w:cs="Arial"/>
          <w:b/>
          <w:sz w:val="18"/>
          <w:szCs w:val="18"/>
          <w:lang w:val="nl-BE"/>
        </w:rPr>
        <w:t>4.5 Interacties met andere geneesmiddelen en andere vormen van interactie</w:t>
      </w:r>
    </w:p>
    <w:p w14:paraId="6720044A" w14:textId="057DA5EE" w:rsidR="00D44669" w:rsidRPr="003B1CAC" w:rsidRDefault="006D4700" w:rsidP="002B30E8">
      <w:p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Paracetamol wordt uitgebreid gemetaboliseerd in de lever</w:t>
      </w:r>
      <w:r w:rsidR="0000003C" w:rsidRPr="003B1CAC">
        <w:rPr>
          <w:rFonts w:ascii="Verdana" w:hAnsi="Verdana" w:cs="Arial"/>
          <w:sz w:val="18"/>
          <w:szCs w:val="18"/>
          <w:lang w:val="nl-BE"/>
        </w:rPr>
        <w:t xml:space="preserve">. </w:t>
      </w:r>
      <w:r w:rsidRPr="003B1CAC">
        <w:rPr>
          <w:rFonts w:ascii="Verdana" w:hAnsi="Verdana" w:cs="Arial"/>
          <w:sz w:val="18"/>
          <w:szCs w:val="18"/>
          <w:lang w:val="nl-BE"/>
        </w:rPr>
        <w:t xml:space="preserve">Sommige metabolieten </w:t>
      </w:r>
      <w:r w:rsidR="0000003C" w:rsidRPr="003B1CAC">
        <w:rPr>
          <w:rFonts w:ascii="Verdana" w:hAnsi="Verdana" w:cs="Arial"/>
          <w:sz w:val="18"/>
          <w:szCs w:val="18"/>
          <w:lang w:val="nl-BE"/>
        </w:rPr>
        <w:t xml:space="preserve">van paracetamol </w:t>
      </w:r>
      <w:r w:rsidRPr="003B1CAC">
        <w:rPr>
          <w:rFonts w:ascii="Verdana" w:hAnsi="Verdana" w:cs="Arial"/>
          <w:sz w:val="18"/>
          <w:szCs w:val="18"/>
          <w:lang w:val="nl-BE"/>
        </w:rPr>
        <w:t>zijn hepat</w:t>
      </w:r>
      <w:r w:rsidR="0000003C" w:rsidRPr="003B1CAC">
        <w:rPr>
          <w:rFonts w:ascii="Verdana" w:hAnsi="Verdana" w:cs="Arial"/>
          <w:sz w:val="18"/>
          <w:szCs w:val="18"/>
          <w:lang w:val="nl-BE"/>
        </w:rPr>
        <w:t>otoxisch</w:t>
      </w:r>
      <w:r w:rsidRPr="003B1CAC">
        <w:rPr>
          <w:rFonts w:ascii="Verdana" w:hAnsi="Verdana" w:cs="Arial"/>
          <w:sz w:val="18"/>
          <w:szCs w:val="18"/>
          <w:lang w:val="nl-BE"/>
        </w:rPr>
        <w:t>, en daarom kan gelijktijdige toediening met krachtige enzyminductoren (rifampicine, bepaalde anticonvulsiva, enz.) leiden tot hepatotoxische reacties, vooral bij gebruik van hoge doses paracetamol</w:t>
      </w:r>
      <w:r w:rsidR="00B50786" w:rsidRPr="003B1CAC">
        <w:rPr>
          <w:rFonts w:ascii="Verdana" w:hAnsi="Verdana" w:cs="Arial"/>
          <w:sz w:val="18"/>
          <w:szCs w:val="18"/>
          <w:vertAlign w:val="superscript"/>
          <w:lang w:val="nl-BE"/>
        </w:rPr>
        <w:t>[7]</w:t>
      </w:r>
      <w:r w:rsidRPr="003B1CAC">
        <w:rPr>
          <w:rFonts w:ascii="Verdana" w:hAnsi="Verdana" w:cs="Arial"/>
          <w:sz w:val="18"/>
          <w:szCs w:val="18"/>
          <w:lang w:val="nl-BE"/>
        </w:rPr>
        <w:t>.</w:t>
      </w:r>
    </w:p>
    <w:p w14:paraId="52517641" w14:textId="77777777" w:rsidR="006D4700" w:rsidRPr="003B1CAC" w:rsidRDefault="006D4700" w:rsidP="002B30E8">
      <w:pPr>
        <w:tabs>
          <w:tab w:val="left" w:pos="2977"/>
          <w:tab w:val="left" w:pos="3402"/>
          <w:tab w:val="left" w:pos="3969"/>
        </w:tabs>
        <w:rPr>
          <w:rFonts w:ascii="Verdana" w:hAnsi="Verdana" w:cs="Arial"/>
          <w:sz w:val="18"/>
          <w:szCs w:val="18"/>
          <w:lang w:val="nl-BE"/>
        </w:rPr>
      </w:pPr>
    </w:p>
    <w:p w14:paraId="7ED77B0A" w14:textId="77777777" w:rsidR="00927424" w:rsidRPr="003B1CAC" w:rsidRDefault="008729B2" w:rsidP="002B30E8">
      <w:pPr>
        <w:numPr>
          <w:ilvl w:val="0"/>
          <w:numId w:val="5"/>
        </w:numPr>
        <w:tabs>
          <w:tab w:val="left" w:pos="2977"/>
          <w:tab w:val="left" w:pos="3402"/>
          <w:tab w:val="left" w:pos="3969"/>
        </w:tabs>
        <w:rPr>
          <w:rFonts w:ascii="Verdana" w:hAnsi="Verdana" w:cs="Arial"/>
          <w:sz w:val="18"/>
          <w:szCs w:val="18"/>
          <w:lang w:val="nl-BE"/>
        </w:rPr>
      </w:pPr>
      <w:r w:rsidRPr="003B1CAC">
        <w:rPr>
          <w:rFonts w:ascii="Verdana" w:hAnsi="Verdana" w:cs="Arial"/>
          <w:b/>
          <w:sz w:val="18"/>
          <w:szCs w:val="18"/>
          <w:lang w:val="nl-BE"/>
        </w:rPr>
        <w:t>C</w:t>
      </w:r>
      <w:r w:rsidR="00377AB6" w:rsidRPr="003B1CAC">
        <w:rPr>
          <w:rFonts w:ascii="Verdana" w:hAnsi="Verdana" w:cs="Arial"/>
          <w:b/>
          <w:sz w:val="18"/>
          <w:szCs w:val="18"/>
          <w:lang w:val="nl-BE"/>
        </w:rPr>
        <w:t>olestyramine</w:t>
      </w:r>
    </w:p>
    <w:p w14:paraId="1A32809F" w14:textId="57DFB529" w:rsidR="00752859" w:rsidRPr="003B1CAC" w:rsidRDefault="008729B2" w:rsidP="002B30E8">
      <w:pPr>
        <w:tabs>
          <w:tab w:val="left" w:pos="2977"/>
          <w:tab w:val="left" w:pos="3402"/>
          <w:tab w:val="left" w:pos="3969"/>
        </w:tabs>
        <w:ind w:left="360"/>
        <w:rPr>
          <w:rFonts w:ascii="Verdana" w:hAnsi="Verdana" w:cs="Arial"/>
          <w:sz w:val="18"/>
          <w:szCs w:val="18"/>
          <w:lang w:val="nl-BE"/>
        </w:rPr>
      </w:pPr>
      <w:r w:rsidRPr="003B1CAC">
        <w:rPr>
          <w:rFonts w:ascii="Verdana" w:hAnsi="Verdana" w:cs="Arial"/>
          <w:sz w:val="18"/>
          <w:szCs w:val="18"/>
          <w:lang w:val="nl-BE"/>
        </w:rPr>
        <w:t>C</w:t>
      </w:r>
      <w:r w:rsidR="003D0628" w:rsidRPr="003B1CAC">
        <w:rPr>
          <w:rFonts w:ascii="Verdana" w:hAnsi="Verdana" w:cs="Arial"/>
          <w:sz w:val="18"/>
          <w:szCs w:val="18"/>
          <w:lang w:val="nl-BE"/>
        </w:rPr>
        <w:t>olestyramine</w:t>
      </w:r>
      <w:r w:rsidR="00377AB6" w:rsidRPr="003B1CAC">
        <w:rPr>
          <w:rFonts w:ascii="Verdana" w:hAnsi="Verdana" w:cs="Arial"/>
          <w:sz w:val="18"/>
          <w:szCs w:val="18"/>
          <w:lang w:val="nl-BE"/>
        </w:rPr>
        <w:t xml:space="preserve"> </w:t>
      </w:r>
      <w:r w:rsidRPr="003B1CAC">
        <w:rPr>
          <w:rFonts w:ascii="Verdana" w:hAnsi="Verdana" w:cs="Arial"/>
          <w:sz w:val="18"/>
          <w:szCs w:val="18"/>
          <w:lang w:val="nl-BE"/>
        </w:rPr>
        <w:t>kan</w:t>
      </w:r>
      <w:r w:rsidR="00377AB6" w:rsidRPr="003B1CAC">
        <w:rPr>
          <w:rFonts w:ascii="Verdana" w:hAnsi="Verdana" w:cs="Arial"/>
          <w:sz w:val="18"/>
          <w:szCs w:val="18"/>
          <w:lang w:val="nl-BE"/>
        </w:rPr>
        <w:t xml:space="preserve"> de absorptie van paracetamol verminderen. Als gelijktijdige toediening van paracetamol en colestyramine noodzakelijk is, dan moet paracetamol minstens </w:t>
      </w:r>
      <w:r w:rsidR="00911407" w:rsidRPr="003B1CAC">
        <w:rPr>
          <w:rFonts w:ascii="Verdana" w:hAnsi="Verdana" w:cs="Arial"/>
          <w:sz w:val="18"/>
          <w:szCs w:val="18"/>
          <w:lang w:val="nl-BE"/>
        </w:rPr>
        <w:t>1</w:t>
      </w:r>
      <w:r w:rsidR="00377AB6" w:rsidRPr="003B1CAC">
        <w:rPr>
          <w:rFonts w:ascii="Verdana" w:hAnsi="Verdana" w:cs="Arial"/>
          <w:sz w:val="18"/>
          <w:szCs w:val="18"/>
          <w:lang w:val="nl-BE"/>
        </w:rPr>
        <w:t xml:space="preserve"> uur voor of 4 uren na de toediening van colestyramine worden ingenomen</w:t>
      </w:r>
      <w:r w:rsidR="00807E3E" w:rsidRPr="003B1CAC">
        <w:rPr>
          <w:rFonts w:ascii="Verdana" w:hAnsi="Verdana" w:cs="Arial"/>
          <w:sz w:val="18"/>
          <w:szCs w:val="18"/>
          <w:vertAlign w:val="superscript"/>
          <w:lang w:val="nl-BE"/>
        </w:rPr>
        <w:t>[</w:t>
      </w:r>
      <w:r w:rsidRPr="003B1CAC">
        <w:rPr>
          <w:rFonts w:ascii="Verdana" w:hAnsi="Verdana" w:cs="Arial"/>
          <w:sz w:val="18"/>
          <w:szCs w:val="18"/>
          <w:vertAlign w:val="superscript"/>
          <w:lang w:val="nl-BE"/>
        </w:rPr>
        <w:t>2</w:t>
      </w:r>
      <w:r w:rsidR="0066768D" w:rsidRPr="003B1CAC">
        <w:rPr>
          <w:rFonts w:ascii="Verdana" w:hAnsi="Verdana" w:cs="Arial"/>
          <w:sz w:val="18"/>
          <w:szCs w:val="18"/>
          <w:vertAlign w:val="superscript"/>
          <w:lang w:val="nl-BE"/>
        </w:rPr>
        <w:t>,4</w:t>
      </w:r>
      <w:r w:rsidR="00911407" w:rsidRPr="003B1CAC">
        <w:rPr>
          <w:rFonts w:ascii="Verdana" w:hAnsi="Verdana" w:cs="Arial"/>
          <w:sz w:val="18"/>
          <w:szCs w:val="18"/>
          <w:vertAlign w:val="superscript"/>
          <w:lang w:val="nl-BE"/>
        </w:rPr>
        <w:t>]</w:t>
      </w:r>
      <w:r w:rsidR="00377AB6" w:rsidRPr="003B1CAC">
        <w:rPr>
          <w:rFonts w:ascii="Verdana" w:hAnsi="Verdana" w:cs="Arial"/>
          <w:sz w:val="18"/>
          <w:szCs w:val="18"/>
          <w:lang w:val="nl-BE"/>
        </w:rPr>
        <w:t>.</w:t>
      </w:r>
    </w:p>
    <w:p w14:paraId="489CD0B5" w14:textId="77777777" w:rsidR="00FC6DB0" w:rsidRPr="003B1CAC" w:rsidRDefault="00147423" w:rsidP="002B30E8">
      <w:pPr>
        <w:numPr>
          <w:ilvl w:val="0"/>
          <w:numId w:val="5"/>
        </w:numPr>
        <w:tabs>
          <w:tab w:val="left" w:pos="2977"/>
          <w:tab w:val="left" w:pos="3402"/>
          <w:tab w:val="left" w:pos="3969"/>
        </w:tabs>
        <w:rPr>
          <w:rFonts w:ascii="Verdana" w:hAnsi="Verdana" w:cs="Arial"/>
          <w:sz w:val="18"/>
          <w:szCs w:val="18"/>
          <w:lang w:val="nl-BE"/>
        </w:rPr>
      </w:pPr>
      <w:r w:rsidRPr="003B1CAC">
        <w:rPr>
          <w:rFonts w:ascii="Verdana" w:hAnsi="Verdana" w:cs="Arial"/>
          <w:b/>
          <w:sz w:val="18"/>
          <w:szCs w:val="18"/>
          <w:lang w:val="nl-BE"/>
        </w:rPr>
        <w:t>E</w:t>
      </w:r>
      <w:r w:rsidR="00740454" w:rsidRPr="003B1CAC">
        <w:rPr>
          <w:rFonts w:ascii="Verdana" w:hAnsi="Verdana" w:cs="Arial"/>
          <w:b/>
          <w:sz w:val="18"/>
          <w:szCs w:val="18"/>
          <w:lang w:val="nl-BE"/>
        </w:rPr>
        <w:t>nzyminductoren</w:t>
      </w:r>
      <w:r w:rsidRPr="003B1CAC">
        <w:rPr>
          <w:rFonts w:ascii="Verdana" w:hAnsi="Verdana" w:cs="Arial"/>
          <w:b/>
          <w:sz w:val="18"/>
          <w:szCs w:val="18"/>
          <w:lang w:val="nl-BE"/>
        </w:rPr>
        <w:t xml:space="preserve"> en alcohol</w:t>
      </w:r>
    </w:p>
    <w:p w14:paraId="3CB10AA9" w14:textId="6589E353" w:rsidR="000243E4" w:rsidRPr="003B1CAC" w:rsidRDefault="00F27323" w:rsidP="002B30E8">
      <w:pPr>
        <w:tabs>
          <w:tab w:val="left" w:pos="2977"/>
          <w:tab w:val="left" w:pos="3402"/>
          <w:tab w:val="left" w:pos="3969"/>
        </w:tabs>
        <w:ind w:left="360"/>
        <w:rPr>
          <w:rFonts w:ascii="Verdana" w:hAnsi="Verdana" w:cs="Arial"/>
          <w:sz w:val="18"/>
          <w:szCs w:val="18"/>
          <w:lang w:val="nl-BE"/>
        </w:rPr>
      </w:pPr>
      <w:r w:rsidRPr="003B1CAC">
        <w:rPr>
          <w:rFonts w:ascii="Verdana" w:hAnsi="Verdana" w:cs="Arial"/>
          <w:sz w:val="18"/>
          <w:szCs w:val="18"/>
          <w:lang w:val="nl-BE"/>
        </w:rPr>
        <w:t>H</w:t>
      </w:r>
      <w:r w:rsidR="00EF7858" w:rsidRPr="003B1CAC">
        <w:rPr>
          <w:rFonts w:ascii="Verdana" w:hAnsi="Verdana" w:cs="Arial"/>
          <w:sz w:val="18"/>
          <w:szCs w:val="18"/>
          <w:lang w:val="nl-BE"/>
        </w:rPr>
        <w:t xml:space="preserve">et risico van </w:t>
      </w:r>
      <w:proofErr w:type="spellStart"/>
      <w:r w:rsidR="00EF7858" w:rsidRPr="003B1CAC">
        <w:rPr>
          <w:rFonts w:ascii="Verdana" w:hAnsi="Verdana" w:cs="Arial"/>
          <w:sz w:val="18"/>
          <w:szCs w:val="18"/>
          <w:lang w:val="nl-BE"/>
        </w:rPr>
        <w:t>hepatotoxiciteit</w:t>
      </w:r>
      <w:proofErr w:type="spellEnd"/>
      <w:r w:rsidR="00EF7858" w:rsidRPr="003B1CAC">
        <w:rPr>
          <w:rFonts w:ascii="Verdana" w:hAnsi="Verdana" w:cs="Arial"/>
          <w:sz w:val="18"/>
          <w:szCs w:val="18"/>
          <w:lang w:val="nl-BE"/>
        </w:rPr>
        <w:t xml:space="preserve"> </w:t>
      </w:r>
      <w:r w:rsidR="00740454" w:rsidRPr="003B1CAC">
        <w:rPr>
          <w:rFonts w:ascii="Verdana" w:hAnsi="Verdana" w:cs="Arial"/>
          <w:sz w:val="18"/>
          <w:szCs w:val="18"/>
          <w:lang w:val="nl-BE"/>
        </w:rPr>
        <w:t>is</w:t>
      </w:r>
      <w:r w:rsidR="00EF7858" w:rsidRPr="003B1CAC">
        <w:rPr>
          <w:rFonts w:ascii="Verdana" w:hAnsi="Verdana" w:cs="Arial"/>
          <w:sz w:val="18"/>
          <w:szCs w:val="18"/>
          <w:lang w:val="nl-BE"/>
        </w:rPr>
        <w:t xml:space="preserve"> </w:t>
      </w:r>
      <w:r w:rsidR="00340339" w:rsidRPr="003B1CAC">
        <w:rPr>
          <w:rFonts w:ascii="Verdana" w:hAnsi="Verdana" w:cs="Arial"/>
          <w:sz w:val="18"/>
          <w:szCs w:val="18"/>
          <w:lang w:val="nl-BE"/>
        </w:rPr>
        <w:t xml:space="preserve">mogelijk </w:t>
      </w:r>
      <w:r w:rsidR="00EF7858" w:rsidRPr="003B1CAC">
        <w:rPr>
          <w:rFonts w:ascii="Verdana" w:hAnsi="Verdana" w:cs="Arial"/>
          <w:sz w:val="18"/>
          <w:szCs w:val="18"/>
          <w:lang w:val="nl-BE"/>
        </w:rPr>
        <w:t xml:space="preserve">verhoogd </w:t>
      </w:r>
      <w:r w:rsidR="002E1739" w:rsidRPr="003B1CAC">
        <w:rPr>
          <w:rFonts w:ascii="Verdana" w:hAnsi="Verdana" w:cs="Arial"/>
          <w:sz w:val="18"/>
          <w:szCs w:val="18"/>
          <w:lang w:val="nl-BE"/>
        </w:rPr>
        <w:t>b</w:t>
      </w:r>
      <w:r w:rsidR="003D0628" w:rsidRPr="003B1CAC">
        <w:rPr>
          <w:rFonts w:ascii="Verdana" w:hAnsi="Verdana" w:cs="Arial"/>
          <w:sz w:val="18"/>
          <w:szCs w:val="18"/>
          <w:lang w:val="nl-BE"/>
        </w:rPr>
        <w:t xml:space="preserve">ij gebruik van </w:t>
      </w:r>
      <w:r w:rsidR="00740454" w:rsidRPr="003B1CAC">
        <w:rPr>
          <w:rFonts w:ascii="Verdana" w:hAnsi="Verdana" w:cs="Arial"/>
          <w:sz w:val="18"/>
          <w:szCs w:val="18"/>
          <w:lang w:val="nl-BE"/>
        </w:rPr>
        <w:t xml:space="preserve">enzyminductoren </w:t>
      </w:r>
      <w:r w:rsidR="003D0628" w:rsidRPr="003B1CAC">
        <w:rPr>
          <w:rFonts w:ascii="Verdana" w:hAnsi="Verdana" w:cs="Arial"/>
          <w:sz w:val="18"/>
          <w:szCs w:val="18"/>
          <w:lang w:val="nl-BE"/>
        </w:rPr>
        <w:t>zoals barbituraten</w:t>
      </w:r>
      <w:r w:rsidR="00740454" w:rsidRPr="003B1CAC">
        <w:rPr>
          <w:rFonts w:ascii="Verdana" w:hAnsi="Verdana" w:cs="Arial"/>
          <w:sz w:val="18"/>
          <w:szCs w:val="18"/>
          <w:lang w:val="nl-BE"/>
        </w:rPr>
        <w:t xml:space="preserve">, </w:t>
      </w:r>
      <w:r w:rsidR="00A42215" w:rsidRPr="003B1CAC">
        <w:rPr>
          <w:rFonts w:ascii="Verdana" w:hAnsi="Verdana" w:cs="Arial"/>
          <w:sz w:val="18"/>
          <w:szCs w:val="18"/>
          <w:lang w:val="nl-BE"/>
        </w:rPr>
        <w:t xml:space="preserve">carbamazepine, fenytoïne, </w:t>
      </w:r>
      <w:proofErr w:type="spellStart"/>
      <w:r w:rsidR="00740454" w:rsidRPr="003B1CAC">
        <w:rPr>
          <w:rFonts w:ascii="Verdana" w:hAnsi="Verdana" w:cs="Arial"/>
          <w:sz w:val="18"/>
          <w:szCs w:val="18"/>
          <w:lang w:val="nl-BE"/>
        </w:rPr>
        <w:t>primidone</w:t>
      </w:r>
      <w:proofErr w:type="spellEnd"/>
      <w:r w:rsidR="00740454" w:rsidRPr="003B1CAC">
        <w:rPr>
          <w:rFonts w:ascii="Verdana" w:hAnsi="Verdana" w:cs="Arial"/>
          <w:sz w:val="18"/>
          <w:szCs w:val="18"/>
          <w:lang w:val="nl-BE"/>
        </w:rPr>
        <w:t xml:space="preserve">, </w:t>
      </w:r>
      <w:r w:rsidR="00492D33" w:rsidRPr="003B1CAC">
        <w:rPr>
          <w:rFonts w:ascii="Verdana" w:hAnsi="Verdana" w:cs="Arial"/>
          <w:sz w:val="18"/>
          <w:szCs w:val="18"/>
          <w:lang w:val="nl-BE"/>
        </w:rPr>
        <w:t xml:space="preserve">isoniazide, </w:t>
      </w:r>
      <w:r w:rsidR="00A42215" w:rsidRPr="003B1CAC">
        <w:rPr>
          <w:rFonts w:ascii="Verdana" w:hAnsi="Verdana" w:cs="Arial"/>
          <w:sz w:val="18"/>
          <w:szCs w:val="18"/>
          <w:lang w:val="nl-BE"/>
        </w:rPr>
        <w:t>rifampicine</w:t>
      </w:r>
      <w:r w:rsidR="00147423" w:rsidRPr="003B1CAC">
        <w:rPr>
          <w:rFonts w:ascii="Verdana" w:hAnsi="Verdana" w:cs="Arial"/>
          <w:sz w:val="18"/>
          <w:szCs w:val="18"/>
          <w:lang w:val="nl-BE"/>
        </w:rPr>
        <w:t xml:space="preserve"> en alcohol</w:t>
      </w:r>
      <w:r w:rsidR="007456B4" w:rsidRPr="003B1CAC">
        <w:rPr>
          <w:rFonts w:ascii="Verdana" w:hAnsi="Verdana" w:cs="Arial"/>
          <w:sz w:val="18"/>
          <w:szCs w:val="18"/>
          <w:vertAlign w:val="superscript"/>
          <w:lang w:val="nl-BE"/>
        </w:rPr>
        <w:t>[</w:t>
      </w:r>
      <w:r w:rsidR="00DD1C05" w:rsidRPr="003B1CAC">
        <w:rPr>
          <w:rFonts w:ascii="Verdana" w:hAnsi="Verdana" w:cs="Arial"/>
          <w:sz w:val="18"/>
          <w:szCs w:val="18"/>
          <w:vertAlign w:val="superscript"/>
          <w:lang w:val="nl-BE"/>
        </w:rPr>
        <w:t>1</w:t>
      </w:r>
      <w:r w:rsidR="008729B2" w:rsidRPr="003B1CAC">
        <w:rPr>
          <w:rFonts w:ascii="Verdana" w:hAnsi="Verdana" w:cs="Arial"/>
          <w:sz w:val="18"/>
          <w:szCs w:val="18"/>
          <w:vertAlign w:val="superscript"/>
          <w:lang w:val="nl-BE"/>
        </w:rPr>
        <w:t>,2</w:t>
      </w:r>
      <w:r w:rsidR="00DC7529" w:rsidRPr="003B1CAC">
        <w:rPr>
          <w:rFonts w:ascii="Verdana" w:hAnsi="Verdana" w:cs="Arial"/>
          <w:sz w:val="18"/>
          <w:szCs w:val="18"/>
          <w:vertAlign w:val="superscript"/>
          <w:lang w:val="nl-BE"/>
        </w:rPr>
        <w:t>,4</w:t>
      </w:r>
      <w:r w:rsidR="007456B4" w:rsidRPr="003B1CAC">
        <w:rPr>
          <w:rFonts w:ascii="Verdana" w:hAnsi="Verdana" w:cs="Arial"/>
          <w:sz w:val="18"/>
          <w:szCs w:val="18"/>
          <w:vertAlign w:val="superscript"/>
          <w:lang w:val="nl-BE"/>
        </w:rPr>
        <w:t>]</w:t>
      </w:r>
      <w:r w:rsidR="003D0628" w:rsidRPr="003B1CAC">
        <w:rPr>
          <w:rFonts w:ascii="Verdana" w:hAnsi="Verdana" w:cs="Arial"/>
          <w:sz w:val="18"/>
          <w:szCs w:val="18"/>
          <w:lang w:val="nl-BE"/>
        </w:rPr>
        <w:t xml:space="preserve">. </w:t>
      </w:r>
      <w:r w:rsidR="00340339" w:rsidRPr="003B1CAC">
        <w:rPr>
          <w:rFonts w:ascii="Verdana" w:hAnsi="Verdana" w:cs="Arial"/>
          <w:sz w:val="18"/>
          <w:szCs w:val="18"/>
          <w:lang w:val="nl-BE"/>
        </w:rPr>
        <w:t xml:space="preserve">De maximale dagdosis mag bij deze patiënten zeker niet worden </w:t>
      </w:r>
      <w:r w:rsidR="00FC6DB0" w:rsidRPr="003B1CAC">
        <w:rPr>
          <w:rFonts w:ascii="Verdana" w:hAnsi="Verdana" w:cs="Arial"/>
          <w:sz w:val="18"/>
          <w:szCs w:val="18"/>
          <w:lang w:val="nl-BE"/>
        </w:rPr>
        <w:t xml:space="preserve">overschreden </w:t>
      </w:r>
      <w:r w:rsidR="00340339" w:rsidRPr="003B1CAC">
        <w:rPr>
          <w:rFonts w:ascii="Verdana" w:hAnsi="Verdana" w:cs="Arial"/>
          <w:sz w:val="18"/>
          <w:szCs w:val="18"/>
          <w:lang w:val="nl-BE"/>
        </w:rPr>
        <w:t xml:space="preserve">(zie rubriek </w:t>
      </w:r>
      <w:r w:rsidR="006835C3" w:rsidRPr="003B1CAC">
        <w:rPr>
          <w:rFonts w:ascii="Verdana" w:hAnsi="Verdana" w:cs="Arial"/>
          <w:sz w:val="18"/>
          <w:szCs w:val="18"/>
          <w:lang w:val="nl-BE"/>
        </w:rPr>
        <w:t xml:space="preserve">4.2, </w:t>
      </w:r>
      <w:r w:rsidR="00340339" w:rsidRPr="003B1CAC">
        <w:rPr>
          <w:rFonts w:ascii="Verdana" w:hAnsi="Verdana" w:cs="Arial"/>
          <w:sz w:val="18"/>
          <w:szCs w:val="18"/>
          <w:lang w:val="nl-BE"/>
        </w:rPr>
        <w:t>4.4</w:t>
      </w:r>
      <w:r w:rsidR="002B18E0" w:rsidRPr="003B1CAC">
        <w:rPr>
          <w:rFonts w:ascii="Verdana" w:hAnsi="Verdana" w:cs="Arial"/>
          <w:sz w:val="18"/>
          <w:szCs w:val="18"/>
          <w:lang w:val="nl-BE"/>
        </w:rPr>
        <w:t xml:space="preserve"> en 4.9</w:t>
      </w:r>
      <w:r w:rsidR="00340339" w:rsidRPr="003B1CAC">
        <w:rPr>
          <w:rFonts w:ascii="Verdana" w:hAnsi="Verdana" w:cs="Arial"/>
          <w:sz w:val="18"/>
          <w:szCs w:val="18"/>
          <w:lang w:val="nl-BE"/>
        </w:rPr>
        <w:t>).</w:t>
      </w:r>
    </w:p>
    <w:p w14:paraId="5598D414" w14:textId="77777777" w:rsidR="00BE70B6" w:rsidRPr="003B1CAC" w:rsidRDefault="00D501C6" w:rsidP="002B30E8">
      <w:pPr>
        <w:numPr>
          <w:ilvl w:val="0"/>
          <w:numId w:val="5"/>
        </w:numPr>
        <w:tabs>
          <w:tab w:val="left" w:pos="2977"/>
          <w:tab w:val="left" w:pos="3402"/>
          <w:tab w:val="left" w:pos="3969"/>
        </w:tabs>
        <w:rPr>
          <w:rFonts w:ascii="Verdana" w:hAnsi="Verdana" w:cs="Arial"/>
          <w:sz w:val="18"/>
          <w:szCs w:val="18"/>
          <w:lang w:val="nl-BE"/>
        </w:rPr>
      </w:pPr>
      <w:proofErr w:type="spellStart"/>
      <w:r w:rsidRPr="003B1CAC">
        <w:rPr>
          <w:rFonts w:ascii="Verdana" w:hAnsi="Verdana" w:cs="Arial"/>
          <w:b/>
          <w:sz w:val="18"/>
          <w:szCs w:val="18"/>
          <w:lang w:val="nl-BE"/>
        </w:rPr>
        <w:t>Probenicide</w:t>
      </w:r>
      <w:proofErr w:type="spellEnd"/>
    </w:p>
    <w:p w14:paraId="74E53861" w14:textId="38E20554" w:rsidR="00FA6973" w:rsidRPr="003B1CAC" w:rsidRDefault="00BE70B6" w:rsidP="002B30E8">
      <w:pPr>
        <w:tabs>
          <w:tab w:val="left" w:pos="2977"/>
          <w:tab w:val="left" w:pos="3402"/>
          <w:tab w:val="left" w:pos="3969"/>
        </w:tabs>
        <w:ind w:left="360"/>
        <w:rPr>
          <w:rFonts w:ascii="Verdana" w:hAnsi="Verdana" w:cs="Arial"/>
          <w:sz w:val="18"/>
          <w:szCs w:val="18"/>
          <w:lang w:val="nl-BE"/>
        </w:rPr>
      </w:pPr>
      <w:proofErr w:type="spellStart"/>
      <w:r w:rsidRPr="003B1CAC">
        <w:rPr>
          <w:rFonts w:ascii="Verdana" w:hAnsi="Verdana" w:cs="Arial"/>
          <w:sz w:val="18"/>
          <w:szCs w:val="18"/>
          <w:lang w:val="nl-BE"/>
        </w:rPr>
        <w:t>P</w:t>
      </w:r>
      <w:r w:rsidR="00D501C6" w:rsidRPr="003B1CAC">
        <w:rPr>
          <w:rFonts w:ascii="Verdana" w:hAnsi="Verdana" w:cs="Arial"/>
          <w:sz w:val="18"/>
          <w:szCs w:val="18"/>
          <w:lang w:val="nl-BE"/>
        </w:rPr>
        <w:t>robenicide</w:t>
      </w:r>
      <w:proofErr w:type="spellEnd"/>
      <w:r w:rsidR="00D501C6" w:rsidRPr="003B1CAC">
        <w:rPr>
          <w:rFonts w:ascii="Verdana" w:hAnsi="Verdana" w:cs="Arial"/>
          <w:sz w:val="18"/>
          <w:szCs w:val="18"/>
          <w:lang w:val="nl-BE"/>
        </w:rPr>
        <w:t xml:space="preserve"> </w:t>
      </w:r>
      <w:r w:rsidR="009D22BF" w:rsidRPr="003B1CAC">
        <w:rPr>
          <w:rFonts w:ascii="Verdana" w:hAnsi="Verdana" w:cs="Arial"/>
          <w:sz w:val="18"/>
          <w:szCs w:val="18"/>
          <w:lang w:val="nl-BE"/>
        </w:rPr>
        <w:t xml:space="preserve">kan </w:t>
      </w:r>
      <w:r w:rsidR="00D501C6" w:rsidRPr="003B1CAC">
        <w:rPr>
          <w:rFonts w:ascii="Verdana" w:hAnsi="Verdana" w:cs="Arial"/>
          <w:sz w:val="18"/>
          <w:szCs w:val="18"/>
          <w:lang w:val="nl-BE"/>
        </w:rPr>
        <w:t xml:space="preserve">de klaring van paracetamol </w:t>
      </w:r>
      <w:r w:rsidR="009D22BF" w:rsidRPr="003B1CAC">
        <w:rPr>
          <w:rFonts w:ascii="Verdana" w:hAnsi="Verdana" w:cs="Arial"/>
          <w:sz w:val="18"/>
          <w:szCs w:val="18"/>
          <w:lang w:val="nl-BE"/>
        </w:rPr>
        <w:t xml:space="preserve">quasi halveren </w:t>
      </w:r>
      <w:r w:rsidR="00D501C6" w:rsidRPr="003B1CAC">
        <w:rPr>
          <w:rFonts w:ascii="Verdana" w:hAnsi="Verdana" w:cs="Arial"/>
          <w:sz w:val="18"/>
          <w:szCs w:val="18"/>
          <w:lang w:val="nl-BE"/>
        </w:rPr>
        <w:t xml:space="preserve">door remming van de conjugatie met </w:t>
      </w:r>
      <w:proofErr w:type="spellStart"/>
      <w:r w:rsidR="00D501C6" w:rsidRPr="003B1CAC">
        <w:rPr>
          <w:rFonts w:ascii="Verdana" w:hAnsi="Verdana" w:cs="Arial"/>
          <w:sz w:val="18"/>
          <w:szCs w:val="18"/>
          <w:lang w:val="nl-BE"/>
        </w:rPr>
        <w:t>glucuronzuur</w:t>
      </w:r>
      <w:proofErr w:type="spellEnd"/>
      <w:r w:rsidR="00D501C6" w:rsidRPr="003B1CAC">
        <w:rPr>
          <w:rFonts w:ascii="Verdana" w:hAnsi="Verdana" w:cs="Arial"/>
          <w:sz w:val="18"/>
          <w:szCs w:val="18"/>
          <w:lang w:val="nl-BE"/>
        </w:rPr>
        <w:t xml:space="preserve">. Een verlaging van de dosis paracetamol </w:t>
      </w:r>
      <w:r w:rsidRPr="003B1CAC">
        <w:rPr>
          <w:rFonts w:ascii="Verdana" w:hAnsi="Verdana" w:cs="Arial"/>
          <w:sz w:val="18"/>
          <w:szCs w:val="18"/>
          <w:lang w:val="nl-BE"/>
        </w:rPr>
        <w:t>moet</w:t>
      </w:r>
      <w:r w:rsidR="00D501C6" w:rsidRPr="003B1CAC">
        <w:rPr>
          <w:rFonts w:ascii="Verdana" w:hAnsi="Verdana" w:cs="Arial"/>
          <w:sz w:val="18"/>
          <w:szCs w:val="18"/>
          <w:lang w:val="nl-BE"/>
        </w:rPr>
        <w:t xml:space="preserve"> worden overwogen bij gelijktijdige behandeling met </w:t>
      </w:r>
      <w:proofErr w:type="spellStart"/>
      <w:r w:rsidR="00D501C6" w:rsidRPr="003B1CAC">
        <w:rPr>
          <w:rFonts w:ascii="Verdana" w:hAnsi="Verdana" w:cs="Arial"/>
          <w:sz w:val="18"/>
          <w:szCs w:val="18"/>
          <w:lang w:val="nl-BE"/>
        </w:rPr>
        <w:t>probenicide</w:t>
      </w:r>
      <w:proofErr w:type="spellEnd"/>
      <w:r w:rsidR="00D501C6" w:rsidRPr="003B1CAC">
        <w:rPr>
          <w:rFonts w:ascii="Verdana" w:hAnsi="Verdana" w:cs="Arial"/>
          <w:sz w:val="18"/>
          <w:szCs w:val="18"/>
          <w:vertAlign w:val="superscript"/>
          <w:lang w:val="nl-BE"/>
        </w:rPr>
        <w:t>[1,2</w:t>
      </w:r>
      <w:r w:rsidR="009D22BF" w:rsidRPr="003B1CAC">
        <w:rPr>
          <w:rFonts w:ascii="Verdana" w:hAnsi="Verdana" w:cs="Arial"/>
          <w:sz w:val="18"/>
          <w:szCs w:val="18"/>
          <w:vertAlign w:val="superscript"/>
          <w:lang w:val="nl-BE"/>
        </w:rPr>
        <w:t>,4</w:t>
      </w:r>
      <w:r w:rsidR="00D501C6" w:rsidRPr="003B1CAC">
        <w:rPr>
          <w:rFonts w:ascii="Verdana" w:hAnsi="Verdana" w:cs="Arial"/>
          <w:sz w:val="18"/>
          <w:szCs w:val="18"/>
          <w:vertAlign w:val="superscript"/>
          <w:lang w:val="nl-BE"/>
        </w:rPr>
        <w:t>]</w:t>
      </w:r>
      <w:r w:rsidR="00D501C6" w:rsidRPr="003B1CAC">
        <w:rPr>
          <w:rFonts w:ascii="Verdana" w:hAnsi="Verdana" w:cs="Arial"/>
          <w:sz w:val="18"/>
          <w:szCs w:val="18"/>
          <w:lang w:val="nl-BE"/>
        </w:rPr>
        <w:t>.</w:t>
      </w:r>
    </w:p>
    <w:p w14:paraId="60DBE598" w14:textId="77777777" w:rsidR="00BE70B6" w:rsidRPr="003B1CAC" w:rsidRDefault="008267FE" w:rsidP="002B30E8">
      <w:pPr>
        <w:numPr>
          <w:ilvl w:val="0"/>
          <w:numId w:val="5"/>
        </w:numPr>
        <w:tabs>
          <w:tab w:val="left" w:pos="2977"/>
          <w:tab w:val="left" w:pos="3402"/>
          <w:tab w:val="left" w:pos="3969"/>
        </w:tabs>
        <w:rPr>
          <w:rFonts w:ascii="Verdana" w:hAnsi="Verdana" w:cs="Arial"/>
          <w:b/>
          <w:sz w:val="18"/>
          <w:szCs w:val="18"/>
          <w:lang w:val="nl-BE"/>
        </w:rPr>
      </w:pPr>
      <w:r w:rsidRPr="003B1CAC">
        <w:rPr>
          <w:rFonts w:ascii="Verdana" w:hAnsi="Verdana" w:cs="Arial"/>
          <w:b/>
          <w:sz w:val="18"/>
          <w:szCs w:val="18"/>
          <w:lang w:val="nl-BE"/>
        </w:rPr>
        <w:t>Zidovudine</w:t>
      </w:r>
    </w:p>
    <w:p w14:paraId="528697A9" w14:textId="0EF113CF" w:rsidR="008267FE" w:rsidRPr="003B1CAC" w:rsidRDefault="00BE70B6" w:rsidP="002B30E8">
      <w:pPr>
        <w:tabs>
          <w:tab w:val="left" w:pos="2977"/>
          <w:tab w:val="left" w:pos="3402"/>
          <w:tab w:val="left" w:pos="3969"/>
        </w:tabs>
        <w:ind w:left="360"/>
        <w:rPr>
          <w:rFonts w:ascii="Verdana" w:hAnsi="Verdana" w:cs="Arial"/>
          <w:sz w:val="18"/>
          <w:szCs w:val="18"/>
          <w:lang w:val="nl-BE"/>
        </w:rPr>
      </w:pPr>
      <w:r w:rsidRPr="003B1CAC">
        <w:rPr>
          <w:rFonts w:ascii="Verdana" w:hAnsi="Verdana" w:cs="Arial"/>
          <w:sz w:val="18"/>
          <w:szCs w:val="18"/>
          <w:lang w:val="nl-BE"/>
        </w:rPr>
        <w:t>G</w:t>
      </w:r>
      <w:r w:rsidR="008267FE" w:rsidRPr="003B1CAC">
        <w:rPr>
          <w:rFonts w:ascii="Verdana" w:hAnsi="Verdana" w:cs="Arial"/>
          <w:sz w:val="18"/>
          <w:szCs w:val="18"/>
          <w:lang w:val="nl-BE"/>
        </w:rPr>
        <w:t xml:space="preserve">elijktijdige toediening van paracetamol en zidovudine kan leiden tot neutropenie </w:t>
      </w:r>
      <w:r w:rsidR="00265C48" w:rsidRPr="003B1CAC">
        <w:rPr>
          <w:rFonts w:ascii="Verdana" w:hAnsi="Verdana" w:cs="Arial"/>
          <w:sz w:val="18"/>
          <w:szCs w:val="18"/>
          <w:lang w:val="nl-BE"/>
        </w:rPr>
        <w:t>en</w:t>
      </w:r>
      <w:r w:rsidR="008267FE" w:rsidRPr="003B1CAC">
        <w:rPr>
          <w:rFonts w:ascii="Verdana" w:hAnsi="Verdana" w:cs="Arial"/>
          <w:sz w:val="18"/>
          <w:szCs w:val="18"/>
          <w:lang w:val="nl-BE"/>
        </w:rPr>
        <w:t xml:space="preserve"> </w:t>
      </w:r>
      <w:proofErr w:type="spellStart"/>
      <w:r w:rsidR="008267FE" w:rsidRPr="003B1CAC">
        <w:rPr>
          <w:rFonts w:ascii="Verdana" w:hAnsi="Verdana" w:cs="Arial"/>
          <w:sz w:val="18"/>
          <w:szCs w:val="18"/>
          <w:lang w:val="nl-BE"/>
        </w:rPr>
        <w:t>hepatotoxiciteit</w:t>
      </w:r>
      <w:proofErr w:type="spellEnd"/>
      <w:r w:rsidR="008267FE" w:rsidRPr="003B1CAC">
        <w:rPr>
          <w:rFonts w:ascii="Verdana" w:hAnsi="Verdana" w:cs="Arial"/>
          <w:sz w:val="18"/>
          <w:szCs w:val="18"/>
          <w:lang w:val="nl-BE"/>
        </w:rPr>
        <w:t xml:space="preserve">. Het chronisch/veelvuldig gebruik van paracetamol bij patiënten die met zidovudine worden behandeld, </w:t>
      </w:r>
      <w:r w:rsidR="00CC32D6" w:rsidRPr="003B1CAC">
        <w:rPr>
          <w:rFonts w:ascii="Verdana" w:hAnsi="Verdana" w:cs="Arial"/>
          <w:sz w:val="18"/>
          <w:szCs w:val="18"/>
          <w:lang w:val="nl-BE"/>
        </w:rPr>
        <w:t>moet</w:t>
      </w:r>
      <w:r w:rsidR="008267FE" w:rsidRPr="003B1CAC">
        <w:rPr>
          <w:rFonts w:ascii="Verdana" w:hAnsi="Verdana" w:cs="Arial"/>
          <w:sz w:val="18"/>
          <w:szCs w:val="18"/>
          <w:lang w:val="nl-BE"/>
        </w:rPr>
        <w:t xml:space="preserve"> worden vermeden. </w:t>
      </w:r>
      <w:r w:rsidR="00CC32D6" w:rsidRPr="003B1CAC">
        <w:rPr>
          <w:rFonts w:ascii="Verdana" w:hAnsi="Verdana" w:cs="Arial"/>
          <w:sz w:val="18"/>
          <w:szCs w:val="18"/>
          <w:lang w:val="nl-BE"/>
        </w:rPr>
        <w:t xml:space="preserve">Wanneer </w:t>
      </w:r>
      <w:r w:rsidR="008267FE" w:rsidRPr="003B1CAC">
        <w:rPr>
          <w:rFonts w:ascii="Verdana" w:hAnsi="Verdana" w:cs="Arial"/>
          <w:sz w:val="18"/>
          <w:szCs w:val="18"/>
          <w:lang w:val="nl-BE"/>
        </w:rPr>
        <w:t xml:space="preserve">chronisch gebruik van paracetamol en zidovudine noodzakelijk is, </w:t>
      </w:r>
      <w:r w:rsidR="00CC32D6" w:rsidRPr="003B1CAC">
        <w:rPr>
          <w:rFonts w:ascii="Verdana" w:hAnsi="Verdana" w:cs="Arial"/>
          <w:sz w:val="18"/>
          <w:szCs w:val="18"/>
          <w:lang w:val="nl-BE"/>
        </w:rPr>
        <w:t xml:space="preserve">moeten de hoeveelheid </w:t>
      </w:r>
      <w:r w:rsidR="008267FE" w:rsidRPr="003B1CAC">
        <w:rPr>
          <w:rFonts w:ascii="Verdana" w:hAnsi="Verdana" w:cs="Arial"/>
          <w:sz w:val="18"/>
          <w:szCs w:val="18"/>
          <w:lang w:val="nl-BE"/>
        </w:rPr>
        <w:t>witte bloedcellen</w:t>
      </w:r>
      <w:r w:rsidR="008A0456" w:rsidRPr="003B1CAC">
        <w:rPr>
          <w:rFonts w:ascii="Verdana" w:hAnsi="Verdana" w:cs="Arial"/>
          <w:sz w:val="18"/>
          <w:szCs w:val="18"/>
          <w:lang w:val="nl-BE"/>
        </w:rPr>
        <w:t xml:space="preserve"> en </w:t>
      </w:r>
      <w:r w:rsidR="00CC32D6" w:rsidRPr="003B1CAC">
        <w:rPr>
          <w:rFonts w:ascii="Verdana" w:hAnsi="Verdana" w:cs="Arial"/>
          <w:sz w:val="18"/>
          <w:szCs w:val="18"/>
          <w:lang w:val="nl-BE"/>
        </w:rPr>
        <w:t xml:space="preserve">de </w:t>
      </w:r>
      <w:r w:rsidR="008267FE" w:rsidRPr="003B1CAC">
        <w:rPr>
          <w:rFonts w:ascii="Verdana" w:hAnsi="Verdana" w:cs="Arial"/>
          <w:sz w:val="18"/>
          <w:szCs w:val="18"/>
          <w:lang w:val="nl-BE"/>
        </w:rPr>
        <w:t>leverfunctie worden gecontroleerd, in het bijzonder bij ondervoede patiënten</w:t>
      </w:r>
      <w:r w:rsidR="008267FE" w:rsidRPr="003B1CAC">
        <w:rPr>
          <w:rFonts w:ascii="Verdana" w:hAnsi="Verdana" w:cs="Arial"/>
          <w:sz w:val="18"/>
          <w:szCs w:val="18"/>
          <w:vertAlign w:val="superscript"/>
          <w:lang w:val="nl-BE"/>
        </w:rPr>
        <w:t>[1,2</w:t>
      </w:r>
      <w:r w:rsidR="00607F19" w:rsidRPr="003B1CAC">
        <w:rPr>
          <w:rFonts w:ascii="Verdana" w:hAnsi="Verdana" w:cs="Arial"/>
          <w:sz w:val="18"/>
          <w:szCs w:val="18"/>
          <w:vertAlign w:val="superscript"/>
          <w:lang w:val="nl-BE"/>
        </w:rPr>
        <w:t>,4</w:t>
      </w:r>
      <w:r w:rsidR="008267FE" w:rsidRPr="003B1CAC">
        <w:rPr>
          <w:rFonts w:ascii="Verdana" w:hAnsi="Verdana" w:cs="Arial"/>
          <w:sz w:val="18"/>
          <w:szCs w:val="18"/>
          <w:vertAlign w:val="superscript"/>
          <w:lang w:val="nl-BE"/>
        </w:rPr>
        <w:t>]</w:t>
      </w:r>
      <w:r w:rsidR="008267FE" w:rsidRPr="003B1CAC">
        <w:rPr>
          <w:rFonts w:ascii="Verdana" w:hAnsi="Verdana" w:cs="Arial"/>
          <w:sz w:val="18"/>
          <w:szCs w:val="18"/>
          <w:lang w:val="nl-BE"/>
        </w:rPr>
        <w:t>.</w:t>
      </w:r>
    </w:p>
    <w:p w14:paraId="7BA97B23" w14:textId="77777777" w:rsidR="00B31338" w:rsidRPr="003B1CAC" w:rsidRDefault="00D501C6" w:rsidP="002B30E8">
      <w:pPr>
        <w:numPr>
          <w:ilvl w:val="0"/>
          <w:numId w:val="5"/>
        </w:numPr>
        <w:tabs>
          <w:tab w:val="left" w:pos="2977"/>
          <w:tab w:val="left" w:pos="3402"/>
          <w:tab w:val="left" w:pos="3969"/>
        </w:tabs>
        <w:rPr>
          <w:rFonts w:ascii="Verdana" w:hAnsi="Verdana" w:cs="Arial"/>
          <w:sz w:val="18"/>
          <w:szCs w:val="18"/>
          <w:lang w:val="nl-BE"/>
        </w:rPr>
      </w:pPr>
      <w:r w:rsidRPr="003B1CAC">
        <w:rPr>
          <w:rFonts w:ascii="Verdana" w:hAnsi="Verdana" w:cs="Arial"/>
          <w:b/>
          <w:sz w:val="18"/>
          <w:szCs w:val="18"/>
          <w:lang w:val="nl-BE"/>
        </w:rPr>
        <w:t>Vitamine K-antagonisten</w:t>
      </w:r>
    </w:p>
    <w:p w14:paraId="788CAC24" w14:textId="5DF49B7F" w:rsidR="00D501C6" w:rsidRPr="003B1CAC" w:rsidRDefault="00D501C6" w:rsidP="002B30E8">
      <w:pPr>
        <w:tabs>
          <w:tab w:val="left" w:pos="2977"/>
          <w:tab w:val="left" w:pos="3402"/>
          <w:tab w:val="left" w:pos="3969"/>
        </w:tabs>
        <w:ind w:left="360"/>
        <w:rPr>
          <w:rFonts w:ascii="Verdana" w:hAnsi="Verdana" w:cs="Arial"/>
          <w:sz w:val="18"/>
          <w:szCs w:val="18"/>
          <w:lang w:val="nl-BE"/>
        </w:rPr>
      </w:pPr>
      <w:r w:rsidRPr="003B1CAC">
        <w:rPr>
          <w:rFonts w:ascii="Verdana" w:hAnsi="Verdana" w:cs="Arial"/>
          <w:sz w:val="18"/>
          <w:szCs w:val="18"/>
          <w:lang w:val="nl-BE"/>
        </w:rPr>
        <w:t xml:space="preserve">Versterking van het effect van vitamine K-antagonisten kan optreden, vooral bij regelmatige inname van hoge doses paracetamol. In dit geval is een regelmatige controle van de International </w:t>
      </w:r>
      <w:proofErr w:type="spellStart"/>
      <w:r w:rsidRPr="003B1CAC">
        <w:rPr>
          <w:rFonts w:ascii="Verdana" w:hAnsi="Verdana" w:cs="Arial"/>
          <w:sz w:val="18"/>
          <w:szCs w:val="18"/>
          <w:lang w:val="nl-BE"/>
        </w:rPr>
        <w:t>Normalised</w:t>
      </w:r>
      <w:proofErr w:type="spellEnd"/>
      <w:r w:rsidRPr="003B1CAC">
        <w:rPr>
          <w:rFonts w:ascii="Verdana" w:hAnsi="Verdana" w:cs="Arial"/>
          <w:sz w:val="18"/>
          <w:szCs w:val="18"/>
          <w:lang w:val="nl-BE"/>
        </w:rPr>
        <w:t xml:space="preserve"> Ratio (INR) aanbevolen</w:t>
      </w:r>
      <w:r w:rsidRPr="003B1CAC">
        <w:rPr>
          <w:rFonts w:ascii="Verdana" w:hAnsi="Verdana" w:cs="Arial"/>
          <w:sz w:val="18"/>
          <w:szCs w:val="18"/>
          <w:vertAlign w:val="superscript"/>
          <w:lang w:val="nl-BE"/>
        </w:rPr>
        <w:t>[1]</w:t>
      </w:r>
      <w:r w:rsidRPr="003B1CAC">
        <w:rPr>
          <w:rFonts w:ascii="Verdana" w:hAnsi="Verdana" w:cs="Arial"/>
          <w:sz w:val="18"/>
          <w:szCs w:val="18"/>
          <w:lang w:val="nl-BE"/>
        </w:rPr>
        <w:t>.</w:t>
      </w:r>
    </w:p>
    <w:p w14:paraId="455BE83A" w14:textId="77777777" w:rsidR="00433D1B" w:rsidRPr="003B1CAC" w:rsidRDefault="008E2742" w:rsidP="002B30E8">
      <w:pPr>
        <w:numPr>
          <w:ilvl w:val="0"/>
          <w:numId w:val="5"/>
        </w:numPr>
        <w:tabs>
          <w:tab w:val="left" w:pos="2977"/>
          <w:tab w:val="left" w:pos="3402"/>
          <w:tab w:val="left" w:pos="3969"/>
        </w:tabs>
        <w:rPr>
          <w:rFonts w:ascii="Verdana" w:hAnsi="Verdana" w:cs="Arial"/>
          <w:sz w:val="18"/>
          <w:szCs w:val="18"/>
          <w:lang w:val="nl-BE"/>
        </w:rPr>
      </w:pPr>
      <w:proofErr w:type="spellStart"/>
      <w:r w:rsidRPr="003B1CAC">
        <w:rPr>
          <w:rFonts w:ascii="Verdana" w:hAnsi="Verdana" w:cs="Arial"/>
          <w:b/>
          <w:sz w:val="18"/>
          <w:szCs w:val="18"/>
          <w:lang w:val="nl-BE"/>
        </w:rPr>
        <w:t>Lamotrigine</w:t>
      </w:r>
      <w:proofErr w:type="spellEnd"/>
    </w:p>
    <w:p w14:paraId="013638B4" w14:textId="704D9C6B" w:rsidR="008E2742" w:rsidRPr="003B1CAC" w:rsidRDefault="00433D1B" w:rsidP="002B30E8">
      <w:pPr>
        <w:tabs>
          <w:tab w:val="left" w:pos="2977"/>
          <w:tab w:val="left" w:pos="3402"/>
          <w:tab w:val="left" w:pos="3969"/>
        </w:tabs>
        <w:ind w:left="360"/>
        <w:rPr>
          <w:rFonts w:ascii="Verdana" w:hAnsi="Verdana" w:cs="Arial"/>
          <w:sz w:val="18"/>
          <w:szCs w:val="18"/>
          <w:lang w:val="nl-BE"/>
        </w:rPr>
      </w:pPr>
      <w:r w:rsidRPr="003B1CAC">
        <w:rPr>
          <w:rFonts w:ascii="Verdana" w:hAnsi="Verdana" w:cs="Arial"/>
          <w:sz w:val="18"/>
          <w:szCs w:val="18"/>
          <w:lang w:val="nl-BE"/>
        </w:rPr>
        <w:t>A</w:t>
      </w:r>
      <w:r w:rsidR="00B55C41" w:rsidRPr="003B1CAC">
        <w:rPr>
          <w:rFonts w:ascii="Verdana" w:hAnsi="Verdana" w:cs="Arial"/>
          <w:sz w:val="18"/>
          <w:szCs w:val="18"/>
          <w:lang w:val="nl-BE"/>
        </w:rPr>
        <w:t xml:space="preserve">fname van de biologische beschikbaarheid van </w:t>
      </w:r>
      <w:proofErr w:type="spellStart"/>
      <w:r w:rsidR="00B55C41" w:rsidRPr="003B1CAC">
        <w:rPr>
          <w:rFonts w:ascii="Verdana" w:hAnsi="Verdana" w:cs="Arial"/>
          <w:sz w:val="18"/>
          <w:szCs w:val="18"/>
          <w:lang w:val="nl-BE"/>
        </w:rPr>
        <w:t>lamotrigine</w:t>
      </w:r>
      <w:proofErr w:type="spellEnd"/>
      <w:r w:rsidR="00B55C41" w:rsidRPr="003B1CAC">
        <w:rPr>
          <w:rFonts w:ascii="Verdana" w:hAnsi="Verdana" w:cs="Arial"/>
          <w:sz w:val="18"/>
          <w:szCs w:val="18"/>
          <w:lang w:val="nl-BE"/>
        </w:rPr>
        <w:t xml:space="preserve">, met een mogelijke vermindering van het </w:t>
      </w:r>
      <w:r w:rsidR="00854185" w:rsidRPr="003B1CAC">
        <w:rPr>
          <w:rFonts w:ascii="Verdana" w:hAnsi="Verdana" w:cs="Arial"/>
          <w:sz w:val="18"/>
          <w:szCs w:val="18"/>
          <w:lang w:val="nl-BE"/>
        </w:rPr>
        <w:t xml:space="preserve">therapeutische </w:t>
      </w:r>
      <w:r w:rsidR="00B55C41" w:rsidRPr="003B1CAC">
        <w:rPr>
          <w:rFonts w:ascii="Verdana" w:hAnsi="Verdana" w:cs="Arial"/>
          <w:sz w:val="18"/>
          <w:szCs w:val="18"/>
          <w:lang w:val="nl-BE"/>
        </w:rPr>
        <w:t>effect, als gevolg van mogelijke inductie van het metabolisme in de lever</w:t>
      </w:r>
      <w:r w:rsidR="008E2742" w:rsidRPr="003B1CAC">
        <w:rPr>
          <w:rFonts w:ascii="Verdana" w:hAnsi="Verdana" w:cs="Arial"/>
          <w:sz w:val="18"/>
          <w:szCs w:val="18"/>
          <w:vertAlign w:val="superscript"/>
          <w:lang w:val="nl-BE"/>
        </w:rPr>
        <w:t>[1,2</w:t>
      </w:r>
      <w:r w:rsidR="00D501C6" w:rsidRPr="003B1CAC">
        <w:rPr>
          <w:rFonts w:ascii="Verdana" w:hAnsi="Verdana" w:cs="Arial"/>
          <w:sz w:val="18"/>
          <w:szCs w:val="18"/>
          <w:vertAlign w:val="superscript"/>
          <w:lang w:val="nl-BE"/>
        </w:rPr>
        <w:t>,4</w:t>
      </w:r>
      <w:r w:rsidR="008E2742" w:rsidRPr="003B1CAC">
        <w:rPr>
          <w:rFonts w:ascii="Verdana" w:hAnsi="Verdana" w:cs="Arial"/>
          <w:sz w:val="18"/>
          <w:szCs w:val="18"/>
          <w:vertAlign w:val="superscript"/>
          <w:lang w:val="nl-BE"/>
        </w:rPr>
        <w:t>]</w:t>
      </w:r>
      <w:r w:rsidR="008E2742" w:rsidRPr="003B1CAC">
        <w:rPr>
          <w:rFonts w:ascii="Verdana" w:hAnsi="Verdana" w:cs="Arial"/>
          <w:sz w:val="18"/>
          <w:szCs w:val="18"/>
          <w:lang w:val="nl-BE"/>
        </w:rPr>
        <w:t>.</w:t>
      </w:r>
    </w:p>
    <w:p w14:paraId="3A29003E" w14:textId="77777777" w:rsidR="006845FB" w:rsidRPr="003B1CAC" w:rsidRDefault="00531296" w:rsidP="002B30E8">
      <w:pPr>
        <w:numPr>
          <w:ilvl w:val="0"/>
          <w:numId w:val="5"/>
        </w:numPr>
        <w:tabs>
          <w:tab w:val="left" w:pos="2977"/>
          <w:tab w:val="left" w:pos="3402"/>
          <w:tab w:val="left" w:pos="3969"/>
        </w:tabs>
        <w:rPr>
          <w:rFonts w:ascii="Verdana" w:hAnsi="Verdana" w:cs="Arial"/>
          <w:sz w:val="18"/>
          <w:szCs w:val="18"/>
          <w:lang w:val="nl-BE"/>
        </w:rPr>
      </w:pPr>
      <w:r w:rsidRPr="003B1CAC">
        <w:rPr>
          <w:rFonts w:ascii="Verdana" w:hAnsi="Verdana" w:cs="Arial"/>
          <w:b/>
          <w:sz w:val="18"/>
          <w:szCs w:val="18"/>
          <w:lang w:val="nl-BE"/>
        </w:rPr>
        <w:t>Metoclopramide en domperidon</w:t>
      </w:r>
      <w:r w:rsidR="00D51368" w:rsidRPr="003B1CAC">
        <w:rPr>
          <w:rFonts w:ascii="Verdana" w:hAnsi="Verdana" w:cs="Arial"/>
          <w:sz w:val="18"/>
          <w:szCs w:val="18"/>
          <w:vertAlign w:val="superscript"/>
          <w:lang w:val="nl-BE"/>
        </w:rPr>
        <w:t>[1,2,4]</w:t>
      </w:r>
    </w:p>
    <w:p w14:paraId="1E5A3236" w14:textId="1F7DDD8E" w:rsidR="00531296" w:rsidRPr="003B1CAC" w:rsidRDefault="006845FB" w:rsidP="002B30E8">
      <w:pPr>
        <w:tabs>
          <w:tab w:val="left" w:pos="2977"/>
          <w:tab w:val="left" w:pos="3402"/>
          <w:tab w:val="left" w:pos="3969"/>
        </w:tabs>
        <w:ind w:left="360"/>
        <w:rPr>
          <w:rFonts w:ascii="Verdana" w:hAnsi="Verdana" w:cs="Arial"/>
          <w:sz w:val="18"/>
          <w:szCs w:val="18"/>
          <w:lang w:val="nl-BE"/>
        </w:rPr>
      </w:pPr>
      <w:r w:rsidRPr="003B1CAC">
        <w:rPr>
          <w:rFonts w:ascii="Verdana" w:hAnsi="Verdana" w:cs="Arial"/>
          <w:sz w:val="18"/>
          <w:szCs w:val="18"/>
          <w:lang w:val="nl-BE"/>
        </w:rPr>
        <w:t>V</w:t>
      </w:r>
      <w:r w:rsidR="004C4598" w:rsidRPr="003B1CAC">
        <w:rPr>
          <w:rFonts w:ascii="Verdana" w:hAnsi="Verdana" w:cs="Arial"/>
          <w:sz w:val="18"/>
          <w:szCs w:val="18"/>
          <w:lang w:val="nl-BE"/>
        </w:rPr>
        <w:t>ersnelde</w:t>
      </w:r>
      <w:r w:rsidR="00531296" w:rsidRPr="003B1CAC">
        <w:rPr>
          <w:rFonts w:ascii="Verdana" w:hAnsi="Verdana" w:cs="Arial"/>
          <w:sz w:val="18"/>
          <w:szCs w:val="18"/>
          <w:lang w:val="nl-BE"/>
        </w:rPr>
        <w:t xml:space="preserve"> resorptie van paracetamol in de dunne darm als gevolg van de versnelde maaglediging.</w:t>
      </w:r>
    </w:p>
    <w:p w14:paraId="53F4596E" w14:textId="77777777" w:rsidR="003D112B" w:rsidRPr="003B1CAC" w:rsidRDefault="003B6824" w:rsidP="002B30E8">
      <w:pPr>
        <w:numPr>
          <w:ilvl w:val="0"/>
          <w:numId w:val="5"/>
        </w:numPr>
        <w:tabs>
          <w:tab w:val="left" w:pos="2977"/>
          <w:tab w:val="left" w:pos="3402"/>
          <w:tab w:val="left" w:pos="3969"/>
        </w:tabs>
        <w:rPr>
          <w:rFonts w:ascii="Verdana" w:hAnsi="Verdana" w:cs="Arial"/>
          <w:sz w:val="18"/>
          <w:szCs w:val="18"/>
          <w:lang w:val="nl-BE"/>
        </w:rPr>
      </w:pPr>
      <w:r w:rsidRPr="003B1CAC">
        <w:rPr>
          <w:rFonts w:ascii="Verdana" w:hAnsi="Verdana" w:cs="Arial"/>
          <w:b/>
          <w:sz w:val="18"/>
          <w:szCs w:val="18"/>
          <w:lang w:val="nl-BE"/>
        </w:rPr>
        <w:t>Flucloxacilline</w:t>
      </w:r>
    </w:p>
    <w:p w14:paraId="4650E3B7" w14:textId="0A31F0A9" w:rsidR="003B6824" w:rsidRPr="003B1CAC" w:rsidRDefault="003B6824" w:rsidP="002B30E8">
      <w:pPr>
        <w:tabs>
          <w:tab w:val="left" w:pos="2977"/>
          <w:tab w:val="left" w:pos="3402"/>
          <w:tab w:val="left" w:pos="3969"/>
        </w:tabs>
        <w:ind w:left="360"/>
        <w:rPr>
          <w:rFonts w:ascii="Verdana" w:hAnsi="Verdana" w:cs="Arial"/>
          <w:sz w:val="18"/>
          <w:szCs w:val="18"/>
          <w:lang w:val="nl-BE"/>
        </w:rPr>
      </w:pPr>
      <w:r w:rsidRPr="003B1CAC">
        <w:rPr>
          <w:rFonts w:ascii="Verdana" w:hAnsi="Verdana" w:cs="Arial"/>
          <w:sz w:val="18"/>
          <w:szCs w:val="18"/>
          <w:lang w:val="nl-BE"/>
        </w:rPr>
        <w:t>Voorzichtigheid is geboden wanneer flucloxacilline gelijktijdig met paracetamol wordt gebruikt aangezien gelijktijdige inname in verband wordt gebracht met hoge anion gap metabole acidose, vooral bij patiënten met risicofactoren (zie rubriek 4.4).</w:t>
      </w:r>
      <w:r w:rsidR="00377D66" w:rsidRPr="003B1CAC">
        <w:rPr>
          <w:rFonts w:ascii="Verdana" w:hAnsi="Verdana" w:cs="Arial"/>
          <w:sz w:val="18"/>
          <w:szCs w:val="18"/>
          <w:vertAlign w:val="superscript"/>
          <w:lang w:val="nl-BE"/>
        </w:rPr>
        <w:t>[11]</w:t>
      </w:r>
    </w:p>
    <w:p w14:paraId="521F3B2F" w14:textId="77777777" w:rsidR="003B58B1" w:rsidRPr="003B1CAC" w:rsidRDefault="00F27323" w:rsidP="002B30E8">
      <w:pPr>
        <w:numPr>
          <w:ilvl w:val="0"/>
          <w:numId w:val="5"/>
        </w:numPr>
        <w:tabs>
          <w:tab w:val="left" w:pos="2977"/>
          <w:tab w:val="left" w:pos="3402"/>
          <w:tab w:val="left" w:pos="3969"/>
        </w:tabs>
        <w:rPr>
          <w:rFonts w:ascii="Verdana" w:hAnsi="Verdana" w:cs="Arial"/>
          <w:sz w:val="18"/>
          <w:szCs w:val="18"/>
          <w:lang w:val="nl-BE"/>
        </w:rPr>
      </w:pPr>
      <w:r w:rsidRPr="003B1CAC">
        <w:rPr>
          <w:rFonts w:ascii="Verdana" w:hAnsi="Verdana" w:cs="Arial"/>
          <w:b/>
          <w:sz w:val="18"/>
          <w:szCs w:val="18"/>
          <w:lang w:val="nl-BE"/>
        </w:rPr>
        <w:t>Interactie met diagnostische testen</w:t>
      </w:r>
    </w:p>
    <w:p w14:paraId="3E9DA453" w14:textId="38EA41D0" w:rsidR="00B64BEA" w:rsidRPr="003B1CAC" w:rsidRDefault="00F27323" w:rsidP="002B30E8">
      <w:pPr>
        <w:tabs>
          <w:tab w:val="left" w:pos="2977"/>
          <w:tab w:val="left" w:pos="3402"/>
          <w:tab w:val="left" w:pos="3969"/>
        </w:tabs>
        <w:ind w:left="360"/>
        <w:rPr>
          <w:rFonts w:ascii="Verdana" w:hAnsi="Verdana" w:cs="Arial"/>
          <w:sz w:val="18"/>
          <w:szCs w:val="18"/>
          <w:lang w:val="nl-BE"/>
        </w:rPr>
      </w:pPr>
      <w:r w:rsidRPr="003B1CAC">
        <w:rPr>
          <w:rFonts w:ascii="Verdana" w:hAnsi="Verdana" w:cs="Arial"/>
          <w:sz w:val="18"/>
          <w:szCs w:val="18"/>
          <w:lang w:val="nl-BE"/>
        </w:rPr>
        <w:t>De toediening van paracetamol kan interfereren met de bepaling van het urinezuurgehalte in het bloed door de fosforwolfra</w:t>
      </w:r>
      <w:r w:rsidR="00E30984" w:rsidRPr="003B1CAC">
        <w:rPr>
          <w:rFonts w:ascii="Verdana" w:hAnsi="Verdana" w:cs="Arial"/>
          <w:sz w:val="18"/>
          <w:szCs w:val="18"/>
          <w:lang w:val="nl-BE"/>
        </w:rPr>
        <w:t>a</w:t>
      </w:r>
      <w:r w:rsidRPr="003B1CAC">
        <w:rPr>
          <w:rFonts w:ascii="Verdana" w:hAnsi="Verdana" w:cs="Arial"/>
          <w:sz w:val="18"/>
          <w:szCs w:val="18"/>
          <w:lang w:val="nl-BE"/>
        </w:rPr>
        <w:t>mzuurmethode en de bepaling van de bloedglucose door de glucoseoxidase-peroxidasemethode</w:t>
      </w:r>
      <w:r w:rsidR="00E30984" w:rsidRPr="003B1CAC">
        <w:rPr>
          <w:rFonts w:ascii="Verdana" w:hAnsi="Verdana" w:cs="Arial"/>
          <w:sz w:val="18"/>
          <w:szCs w:val="18"/>
          <w:vertAlign w:val="superscript"/>
          <w:lang w:val="nl-BE"/>
        </w:rPr>
        <w:t xml:space="preserve"> [2]</w:t>
      </w:r>
      <w:r w:rsidRPr="003B1CAC">
        <w:rPr>
          <w:rFonts w:ascii="Verdana" w:hAnsi="Verdana" w:cs="Arial"/>
          <w:sz w:val="18"/>
          <w:szCs w:val="18"/>
          <w:lang w:val="nl-BE"/>
        </w:rPr>
        <w:t>.</w:t>
      </w:r>
    </w:p>
    <w:p w14:paraId="000B982B" w14:textId="1FC5A901" w:rsidR="003B58B1" w:rsidRPr="003B1CAC" w:rsidRDefault="006F263E" w:rsidP="002B30E8">
      <w:pPr>
        <w:numPr>
          <w:ilvl w:val="0"/>
          <w:numId w:val="5"/>
        </w:num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&lt;Optioneel: </w:t>
      </w:r>
      <w:r w:rsidRPr="003B1CAC">
        <w:rPr>
          <w:rFonts w:ascii="Verdana" w:hAnsi="Verdana" w:cs="Arial"/>
          <w:b/>
          <w:sz w:val="18"/>
          <w:szCs w:val="18"/>
          <w:lang w:val="nl-BE"/>
        </w:rPr>
        <w:t>Hormonale anticonceptiva/oestrogenen</w:t>
      </w:r>
      <w:r w:rsidR="000F5B6F" w:rsidRPr="003B1CAC">
        <w:rPr>
          <w:rFonts w:ascii="Verdana" w:hAnsi="Verdana" w:cs="Arial"/>
          <w:sz w:val="18"/>
          <w:szCs w:val="18"/>
          <w:vertAlign w:val="superscript"/>
          <w:lang w:val="nl-BE"/>
        </w:rPr>
        <w:t>[7]</w:t>
      </w:r>
    </w:p>
    <w:p w14:paraId="1954CA81" w14:textId="4360ADDF" w:rsidR="00FA6973" w:rsidRPr="003B1CAC" w:rsidRDefault="003B58B1" w:rsidP="002B30E8">
      <w:pPr>
        <w:tabs>
          <w:tab w:val="left" w:pos="2977"/>
          <w:tab w:val="left" w:pos="3402"/>
          <w:tab w:val="left" w:pos="3969"/>
        </w:tabs>
        <w:ind w:left="360"/>
        <w:rPr>
          <w:rFonts w:ascii="Verdana" w:hAnsi="Verdana" w:cs="Arial"/>
          <w:sz w:val="18"/>
          <w:szCs w:val="18"/>
          <w:lang w:val="nl-BE"/>
        </w:rPr>
      </w:pPr>
      <w:r w:rsidRPr="003B1CAC">
        <w:rPr>
          <w:rFonts w:ascii="Verdana" w:hAnsi="Verdana" w:cs="Arial"/>
          <w:sz w:val="18"/>
          <w:szCs w:val="18"/>
          <w:lang w:val="nl-BE"/>
        </w:rPr>
        <w:t>V</w:t>
      </w:r>
      <w:r w:rsidR="006F263E" w:rsidRPr="003B1CAC">
        <w:rPr>
          <w:rFonts w:ascii="Verdana" w:hAnsi="Verdana" w:cs="Arial"/>
          <w:sz w:val="18"/>
          <w:szCs w:val="18"/>
          <w:lang w:val="nl-BE"/>
        </w:rPr>
        <w:t xml:space="preserve">ermindering van de paracetamol plasmaspiegel met mogelijk verminderde </w:t>
      </w:r>
      <w:r w:rsidRPr="003B1CAC">
        <w:rPr>
          <w:rFonts w:ascii="Verdana" w:hAnsi="Verdana" w:cs="Arial"/>
          <w:sz w:val="18"/>
          <w:szCs w:val="18"/>
          <w:lang w:val="nl-BE"/>
        </w:rPr>
        <w:t>doeltreffendheid</w:t>
      </w:r>
      <w:r w:rsidR="006F263E" w:rsidRPr="003B1CAC">
        <w:rPr>
          <w:rFonts w:ascii="Verdana" w:hAnsi="Verdana" w:cs="Arial"/>
          <w:sz w:val="18"/>
          <w:szCs w:val="18"/>
          <w:lang w:val="nl-BE"/>
        </w:rPr>
        <w:t>, als gevolg van inductie van het metabolisme</w:t>
      </w:r>
      <w:r w:rsidR="0000003C" w:rsidRPr="003B1CAC">
        <w:rPr>
          <w:rFonts w:ascii="Verdana" w:hAnsi="Verdana" w:cs="Arial"/>
          <w:sz w:val="18"/>
          <w:szCs w:val="18"/>
          <w:lang w:val="nl-BE"/>
        </w:rPr>
        <w:t>.&gt;</w:t>
      </w:r>
    </w:p>
    <w:p w14:paraId="2C6A44A7" w14:textId="7CA34BC7" w:rsidR="007A301C" w:rsidRPr="003B1CAC" w:rsidRDefault="0000003C" w:rsidP="002B30E8">
      <w:pPr>
        <w:numPr>
          <w:ilvl w:val="0"/>
          <w:numId w:val="5"/>
        </w:num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&lt;Optioneel: </w:t>
      </w:r>
      <w:r w:rsidR="00D62A67" w:rsidRPr="003B1CAC">
        <w:rPr>
          <w:rFonts w:ascii="Verdana" w:hAnsi="Verdana" w:cs="Verdana"/>
          <w:b/>
          <w:sz w:val="18"/>
          <w:szCs w:val="18"/>
          <w:lang w:val="nl-BE"/>
        </w:rPr>
        <w:t>Chlooramfenicol</w:t>
      </w:r>
      <w:r w:rsidR="00D51368" w:rsidRPr="003B1CAC">
        <w:rPr>
          <w:rFonts w:ascii="Verdana" w:hAnsi="Verdana" w:cs="Arial"/>
          <w:sz w:val="18"/>
          <w:szCs w:val="18"/>
          <w:vertAlign w:val="superscript"/>
          <w:lang w:val="nl-BE"/>
        </w:rPr>
        <w:t>[4</w:t>
      </w:r>
      <w:r w:rsidR="000F5B6F" w:rsidRPr="003B1CAC">
        <w:rPr>
          <w:rFonts w:ascii="Verdana" w:hAnsi="Verdana" w:cs="Arial"/>
          <w:sz w:val="18"/>
          <w:szCs w:val="18"/>
          <w:vertAlign w:val="superscript"/>
          <w:lang w:val="nl-BE"/>
        </w:rPr>
        <w:t>,7</w:t>
      </w:r>
      <w:r w:rsidR="00D51368" w:rsidRPr="003B1CAC">
        <w:rPr>
          <w:rFonts w:ascii="Verdana" w:hAnsi="Verdana" w:cs="Arial"/>
          <w:sz w:val="18"/>
          <w:szCs w:val="18"/>
          <w:vertAlign w:val="superscript"/>
          <w:lang w:val="nl-BE"/>
        </w:rPr>
        <w:t>]</w:t>
      </w:r>
      <w:r w:rsidR="00D62A67" w:rsidRPr="003B1CAC">
        <w:rPr>
          <w:rFonts w:ascii="Verdana" w:hAnsi="Verdana" w:cs="Verdana"/>
          <w:sz w:val="18"/>
          <w:szCs w:val="18"/>
          <w:lang w:val="nl-BE"/>
        </w:rPr>
        <w:t xml:space="preserve"> </w:t>
      </w:r>
    </w:p>
    <w:p w14:paraId="6AC69015" w14:textId="221D2692" w:rsidR="0000003C" w:rsidRPr="003B1CAC" w:rsidRDefault="007A301C" w:rsidP="00DA1271">
      <w:pPr>
        <w:tabs>
          <w:tab w:val="left" w:pos="2977"/>
          <w:tab w:val="left" w:pos="3402"/>
          <w:tab w:val="left" w:pos="3969"/>
        </w:tabs>
        <w:ind w:left="360"/>
        <w:rPr>
          <w:rFonts w:ascii="Verdana" w:hAnsi="Verdana" w:cs="Arial"/>
          <w:sz w:val="18"/>
          <w:szCs w:val="18"/>
          <w:lang w:val="nl-BE"/>
        </w:rPr>
      </w:pPr>
      <w:r w:rsidRPr="003B1CAC">
        <w:rPr>
          <w:rFonts w:ascii="Verdana" w:hAnsi="Verdana" w:cs="Verdana"/>
          <w:sz w:val="18"/>
          <w:szCs w:val="18"/>
          <w:lang w:val="nl-BE"/>
        </w:rPr>
        <w:t xml:space="preserve">Mogelijke </w:t>
      </w:r>
      <w:r w:rsidR="00D62A67" w:rsidRPr="003B1CAC">
        <w:rPr>
          <w:rFonts w:ascii="Verdana" w:hAnsi="Verdana" w:cs="Verdana"/>
          <w:sz w:val="18"/>
          <w:szCs w:val="18"/>
          <w:lang w:val="nl-BE"/>
        </w:rPr>
        <w:t>versterking van de toxiciteit van chlooramfenicol, door remming van levermetabolisme.</w:t>
      </w:r>
      <w:r w:rsidRPr="003B1CAC">
        <w:rPr>
          <w:rFonts w:ascii="Verdana" w:hAnsi="Verdana" w:cs="Verdana"/>
          <w:sz w:val="18"/>
          <w:szCs w:val="18"/>
          <w:lang w:val="nl-BE"/>
        </w:rPr>
        <w:t>&gt;</w:t>
      </w:r>
    </w:p>
    <w:p w14:paraId="5E927707" w14:textId="77777777" w:rsidR="00FA6973" w:rsidRPr="003B1CAC" w:rsidRDefault="00FA6973" w:rsidP="002B30E8">
      <w:pPr>
        <w:widowControl w:val="0"/>
        <w:rPr>
          <w:rFonts w:ascii="Verdana" w:hAnsi="Verdana"/>
          <w:sz w:val="18"/>
          <w:szCs w:val="18"/>
          <w:lang w:val="nl-BE"/>
        </w:rPr>
      </w:pPr>
    </w:p>
    <w:p w14:paraId="58B25DE5" w14:textId="77777777" w:rsidR="0032402C" w:rsidRPr="003B1CAC" w:rsidRDefault="001801B6" w:rsidP="002B30E8">
      <w:pPr>
        <w:tabs>
          <w:tab w:val="left" w:pos="2977"/>
          <w:tab w:val="left" w:pos="3402"/>
          <w:tab w:val="left" w:pos="3969"/>
        </w:tabs>
        <w:rPr>
          <w:rFonts w:ascii="Verdana" w:hAnsi="Verdana" w:cs="Arial"/>
          <w:sz w:val="18"/>
          <w:szCs w:val="18"/>
          <w:lang w:val="nl-BE"/>
        </w:rPr>
      </w:pPr>
      <w:r w:rsidRPr="003B1CAC">
        <w:rPr>
          <w:rFonts w:ascii="Verdana" w:hAnsi="Verdana" w:cs="Arial"/>
          <w:b/>
          <w:sz w:val="18"/>
          <w:szCs w:val="18"/>
          <w:lang w:val="nl-BE"/>
        </w:rPr>
        <w:t>4.6 Vruchtbaarheid, zwangerschap en borstvoeding</w:t>
      </w:r>
    </w:p>
    <w:p w14:paraId="544FD129" w14:textId="77777777" w:rsidR="003C5C25" w:rsidRPr="003B1CAC" w:rsidRDefault="003C5C25" w:rsidP="002B30E8">
      <w:pPr>
        <w:tabs>
          <w:tab w:val="left" w:pos="2977"/>
          <w:tab w:val="left" w:pos="3402"/>
          <w:tab w:val="left" w:pos="3969"/>
        </w:tabs>
        <w:rPr>
          <w:rFonts w:ascii="Verdana" w:hAnsi="Verdana" w:cs="Arial"/>
          <w:sz w:val="18"/>
          <w:szCs w:val="18"/>
          <w:u w:val="single"/>
          <w:lang w:val="nl-BE"/>
        </w:rPr>
      </w:pPr>
    </w:p>
    <w:p w14:paraId="4DC8FAB3" w14:textId="6EFB0A71" w:rsidR="00276FAB" w:rsidRPr="003B1CAC" w:rsidRDefault="00276FAB" w:rsidP="002B30E8">
      <w:pPr>
        <w:tabs>
          <w:tab w:val="left" w:pos="2977"/>
          <w:tab w:val="left" w:pos="3402"/>
          <w:tab w:val="left" w:pos="3969"/>
        </w:tabs>
        <w:rPr>
          <w:rFonts w:ascii="Verdana" w:hAnsi="Verdana" w:cs="Arial"/>
          <w:b/>
          <w:sz w:val="18"/>
          <w:szCs w:val="18"/>
          <w:lang w:val="nl-BE"/>
        </w:rPr>
      </w:pPr>
      <w:r w:rsidRPr="003B1CAC">
        <w:rPr>
          <w:rFonts w:ascii="Verdana" w:hAnsi="Verdana" w:cs="Arial"/>
          <w:b/>
          <w:sz w:val="18"/>
          <w:szCs w:val="18"/>
          <w:lang w:val="nl-BE"/>
        </w:rPr>
        <w:t>Zwangerschap</w:t>
      </w:r>
    </w:p>
    <w:p w14:paraId="32467D12" w14:textId="2CE2DC37" w:rsidR="00E03BAA" w:rsidRPr="003B1CAC" w:rsidRDefault="008B1F9D" w:rsidP="002B30E8">
      <w:p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Een grote hoeveelheid gegevens over </w:t>
      </w:r>
      <w:r w:rsidR="00E03BAA" w:rsidRPr="003B1CAC">
        <w:rPr>
          <w:rFonts w:ascii="Verdana" w:hAnsi="Verdana" w:cs="Arial"/>
          <w:sz w:val="18"/>
          <w:szCs w:val="18"/>
          <w:lang w:val="nl-BE"/>
        </w:rPr>
        <w:t xml:space="preserve">het gebruik bij </w:t>
      </w:r>
      <w:r w:rsidRPr="003B1CAC">
        <w:rPr>
          <w:rFonts w:ascii="Verdana" w:hAnsi="Verdana" w:cs="Arial"/>
          <w:sz w:val="18"/>
          <w:szCs w:val="18"/>
          <w:lang w:val="nl-BE"/>
        </w:rPr>
        <w:t xml:space="preserve">zwangere vrouwen wijzen niet op misvorming of foetale/neonatale toxiciteit. </w:t>
      </w:r>
      <w:r w:rsidR="00E03BAA" w:rsidRPr="003B1CAC">
        <w:rPr>
          <w:rFonts w:ascii="Verdana" w:hAnsi="Verdana" w:cs="Arial"/>
          <w:sz w:val="18"/>
          <w:szCs w:val="18"/>
          <w:lang w:val="nl-BE"/>
        </w:rPr>
        <w:t xml:space="preserve">Epidemiologische studies over de neurologische ontwikkeling </w:t>
      </w:r>
      <w:r w:rsidR="003A30AD" w:rsidRPr="003B1CAC">
        <w:rPr>
          <w:rFonts w:ascii="Verdana" w:hAnsi="Verdana" w:cs="Arial"/>
          <w:sz w:val="18"/>
          <w:szCs w:val="18"/>
          <w:lang w:val="nl-BE"/>
        </w:rPr>
        <w:t>van</w:t>
      </w:r>
      <w:r w:rsidR="00E03BAA" w:rsidRPr="003B1CAC">
        <w:rPr>
          <w:rFonts w:ascii="Verdana" w:hAnsi="Verdana" w:cs="Arial"/>
          <w:sz w:val="18"/>
          <w:szCs w:val="18"/>
          <w:lang w:val="nl-BE"/>
        </w:rPr>
        <w:t xml:space="preserve"> kinderen die in de baarmoeder aan paracetamol waren blootgesteld, laten geen eenduidig resultaat zien.</w:t>
      </w:r>
    </w:p>
    <w:p w14:paraId="5538DF6C" w14:textId="6DC54F42" w:rsidR="008B1F9D" w:rsidRPr="003B1CAC" w:rsidRDefault="008B1F9D" w:rsidP="002B30E8">
      <w:p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{Fantasienaam} kan worden gebruikt tijdens de zwangerschap </w:t>
      </w:r>
      <w:r w:rsidR="003C5C25" w:rsidRPr="003B1CAC">
        <w:rPr>
          <w:rFonts w:ascii="Verdana" w:hAnsi="Verdana" w:cs="Arial"/>
          <w:sz w:val="18"/>
          <w:szCs w:val="18"/>
          <w:lang w:val="nl-BE"/>
        </w:rPr>
        <w:t xml:space="preserve">wanneer </w:t>
      </w:r>
      <w:r w:rsidRPr="003B1CAC">
        <w:rPr>
          <w:rFonts w:ascii="Verdana" w:hAnsi="Verdana" w:cs="Arial"/>
          <w:sz w:val="18"/>
          <w:szCs w:val="18"/>
          <w:lang w:val="nl-BE"/>
        </w:rPr>
        <w:t>klinisch noodzakelijk</w:t>
      </w:r>
      <w:r w:rsidR="00D713CE" w:rsidRPr="003B1CAC">
        <w:rPr>
          <w:rFonts w:ascii="Verdana" w:hAnsi="Verdana" w:cs="Arial"/>
          <w:sz w:val="18"/>
          <w:szCs w:val="18"/>
          <w:lang w:val="nl-BE"/>
        </w:rPr>
        <w:t>, aan de laagst mogelijke effectieve dosis, voor een zo kort mogelijke periode en met de laagst mogelijke frequentie</w:t>
      </w:r>
      <w:r w:rsidRPr="003B1CAC">
        <w:rPr>
          <w:rFonts w:ascii="Verdana" w:hAnsi="Verdana" w:cs="Arial"/>
          <w:sz w:val="18"/>
          <w:szCs w:val="18"/>
          <w:lang w:val="nl-BE"/>
        </w:rPr>
        <w:t>.</w:t>
      </w:r>
      <w:r w:rsidR="008D12E4" w:rsidRPr="003B1CAC">
        <w:rPr>
          <w:rFonts w:ascii="Verdana" w:hAnsi="Verdana" w:cs="Arial"/>
          <w:sz w:val="18"/>
          <w:szCs w:val="18"/>
          <w:vertAlign w:val="superscript"/>
          <w:lang w:val="nl-BE"/>
        </w:rPr>
        <w:t>[12]</w:t>
      </w:r>
    </w:p>
    <w:p w14:paraId="01E021CF" w14:textId="77777777" w:rsidR="00E03BAA" w:rsidRPr="003B1CAC" w:rsidRDefault="00E03BAA" w:rsidP="002B30E8">
      <w:pPr>
        <w:tabs>
          <w:tab w:val="left" w:pos="2977"/>
          <w:tab w:val="left" w:pos="3402"/>
          <w:tab w:val="left" w:pos="3969"/>
        </w:tabs>
        <w:rPr>
          <w:rFonts w:ascii="Verdana" w:hAnsi="Verdana" w:cs="Arial"/>
          <w:sz w:val="18"/>
          <w:szCs w:val="18"/>
          <w:lang w:val="nl-BE"/>
        </w:rPr>
      </w:pPr>
    </w:p>
    <w:p w14:paraId="0E7DA113" w14:textId="77777777" w:rsidR="00276FAB" w:rsidRPr="003B1CAC" w:rsidRDefault="00276FAB" w:rsidP="002B30E8">
      <w:pPr>
        <w:tabs>
          <w:tab w:val="left" w:pos="2977"/>
          <w:tab w:val="left" w:pos="3402"/>
          <w:tab w:val="left" w:pos="3969"/>
        </w:tabs>
        <w:rPr>
          <w:rFonts w:ascii="Verdana" w:hAnsi="Verdana" w:cs="Arial"/>
          <w:b/>
          <w:sz w:val="18"/>
          <w:szCs w:val="18"/>
          <w:lang w:val="nl-BE"/>
        </w:rPr>
      </w:pPr>
      <w:r w:rsidRPr="003B1CAC">
        <w:rPr>
          <w:rFonts w:ascii="Verdana" w:hAnsi="Verdana" w:cs="Arial"/>
          <w:b/>
          <w:sz w:val="18"/>
          <w:szCs w:val="18"/>
          <w:lang w:val="nl-BE"/>
        </w:rPr>
        <w:t>Borstvoeding</w:t>
      </w:r>
    </w:p>
    <w:p w14:paraId="5B8C0750" w14:textId="457E81E6" w:rsidR="003C5C25" w:rsidRPr="003B1CAC" w:rsidRDefault="008B1F9D" w:rsidP="002B30E8">
      <w:p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Paracetamol en metabolieten wordt uitgescheiden in de moedermelk, maar bij therapeutische doses van {Fantasienaam} worden geen effecten </w:t>
      </w:r>
      <w:r w:rsidR="00607F19" w:rsidRPr="003B1CAC">
        <w:rPr>
          <w:rFonts w:ascii="Verdana" w:hAnsi="Verdana" w:cs="Arial"/>
          <w:sz w:val="18"/>
          <w:szCs w:val="18"/>
          <w:lang w:val="nl-BE"/>
        </w:rPr>
        <w:t xml:space="preserve">verwacht </w:t>
      </w:r>
      <w:r w:rsidR="00D17DA3" w:rsidRPr="003B1CAC">
        <w:rPr>
          <w:rFonts w:ascii="Verdana" w:hAnsi="Verdana" w:cs="Arial"/>
          <w:sz w:val="18"/>
          <w:szCs w:val="18"/>
          <w:lang w:val="nl-BE"/>
        </w:rPr>
        <w:t xml:space="preserve">bij </w:t>
      </w:r>
      <w:r w:rsidR="00050ED1" w:rsidRPr="003B1CAC">
        <w:rPr>
          <w:rFonts w:ascii="Verdana" w:hAnsi="Verdana" w:cs="Arial"/>
          <w:sz w:val="18"/>
          <w:szCs w:val="18"/>
          <w:lang w:val="nl-BE"/>
        </w:rPr>
        <w:t>kinderen</w:t>
      </w:r>
      <w:r w:rsidR="00607F19" w:rsidRPr="003B1CAC">
        <w:rPr>
          <w:rFonts w:ascii="Verdana" w:hAnsi="Verdana" w:cs="Arial"/>
          <w:sz w:val="18"/>
          <w:szCs w:val="18"/>
          <w:lang w:val="nl-BE"/>
        </w:rPr>
        <w:t xml:space="preserve"> die borstvoeding krijgen</w:t>
      </w:r>
      <w:r w:rsidRPr="003B1CAC">
        <w:rPr>
          <w:rFonts w:ascii="Verdana" w:hAnsi="Verdana" w:cs="Arial"/>
          <w:sz w:val="18"/>
          <w:szCs w:val="18"/>
          <w:lang w:val="nl-BE"/>
        </w:rPr>
        <w:t>.</w:t>
      </w:r>
    </w:p>
    <w:p w14:paraId="04990317" w14:textId="370D9CEA" w:rsidR="00F93680" w:rsidRPr="003B1CAC" w:rsidRDefault="008B1F9D" w:rsidP="002B30E8">
      <w:p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{Fantasienaam} kan worden </w:t>
      </w:r>
      <w:r w:rsidR="003C5C25" w:rsidRPr="003B1CAC">
        <w:rPr>
          <w:rFonts w:ascii="Verdana" w:hAnsi="Verdana" w:cs="Arial"/>
          <w:sz w:val="18"/>
          <w:szCs w:val="18"/>
          <w:lang w:val="nl-BE"/>
        </w:rPr>
        <w:t xml:space="preserve">gebruikt </w:t>
      </w:r>
      <w:r w:rsidRPr="003B1CAC">
        <w:rPr>
          <w:rFonts w:ascii="Verdana" w:hAnsi="Verdana" w:cs="Arial"/>
          <w:sz w:val="18"/>
          <w:szCs w:val="18"/>
          <w:lang w:val="nl-BE"/>
        </w:rPr>
        <w:t>tijdens het geven van borstvoeding.</w:t>
      </w:r>
    </w:p>
    <w:p w14:paraId="7D1841C6" w14:textId="77777777" w:rsidR="00731141" w:rsidRPr="003B1CAC" w:rsidRDefault="00731141" w:rsidP="002B30E8">
      <w:pPr>
        <w:tabs>
          <w:tab w:val="left" w:pos="2977"/>
          <w:tab w:val="left" w:pos="3402"/>
          <w:tab w:val="left" w:pos="3969"/>
        </w:tabs>
        <w:rPr>
          <w:rFonts w:ascii="Verdana" w:hAnsi="Verdana" w:cs="Arial"/>
          <w:sz w:val="18"/>
          <w:szCs w:val="18"/>
          <w:lang w:val="nl-BE"/>
        </w:rPr>
      </w:pPr>
    </w:p>
    <w:p w14:paraId="26A04084" w14:textId="20498FCE" w:rsidR="00571ADB" w:rsidRPr="003B1CAC" w:rsidRDefault="00571ADB" w:rsidP="002B30E8">
      <w:pPr>
        <w:tabs>
          <w:tab w:val="left" w:pos="2977"/>
          <w:tab w:val="left" w:pos="3402"/>
          <w:tab w:val="left" w:pos="3969"/>
        </w:tabs>
        <w:rPr>
          <w:rFonts w:ascii="Verdana" w:hAnsi="Verdana" w:cs="Arial"/>
          <w:b/>
          <w:sz w:val="18"/>
          <w:szCs w:val="18"/>
          <w:lang w:val="nl-BE"/>
        </w:rPr>
      </w:pPr>
      <w:r w:rsidRPr="003B1CAC">
        <w:rPr>
          <w:rFonts w:ascii="Verdana" w:hAnsi="Verdana" w:cs="Arial"/>
          <w:b/>
          <w:sz w:val="18"/>
          <w:szCs w:val="18"/>
          <w:lang w:val="nl-BE"/>
        </w:rPr>
        <w:t>Vruchtbaarheid</w:t>
      </w:r>
    </w:p>
    <w:p w14:paraId="6CD7DDE5" w14:textId="77777777" w:rsidR="00571ADB" w:rsidRPr="003B1CAC" w:rsidRDefault="00571ADB" w:rsidP="002B30E8">
      <w:p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Er zijn </w:t>
      </w:r>
      <w:r w:rsidR="00EB668B" w:rsidRPr="003B1CAC">
        <w:rPr>
          <w:rFonts w:ascii="Verdana" w:hAnsi="Verdana" w:cs="Arial"/>
          <w:sz w:val="18"/>
          <w:szCs w:val="18"/>
          <w:lang w:val="nl-BE"/>
        </w:rPr>
        <w:t>geen adequate</w:t>
      </w:r>
      <w:r w:rsidRPr="003B1CAC">
        <w:rPr>
          <w:rFonts w:ascii="Verdana" w:hAnsi="Verdana" w:cs="Arial"/>
          <w:sz w:val="18"/>
          <w:szCs w:val="18"/>
          <w:lang w:val="nl-BE"/>
        </w:rPr>
        <w:t xml:space="preserve"> klinische gegevens beschikbaar over mannelijke of vrouwelijke vruchtbaarheid.</w:t>
      </w:r>
    </w:p>
    <w:p w14:paraId="30688125" w14:textId="77777777" w:rsidR="00571ADB" w:rsidRPr="003B1CAC" w:rsidRDefault="00571ADB" w:rsidP="002B30E8">
      <w:pPr>
        <w:tabs>
          <w:tab w:val="left" w:pos="2977"/>
          <w:tab w:val="left" w:pos="3402"/>
          <w:tab w:val="left" w:pos="3969"/>
        </w:tabs>
        <w:rPr>
          <w:rFonts w:ascii="Verdana" w:hAnsi="Verdana" w:cs="Arial"/>
          <w:sz w:val="18"/>
          <w:szCs w:val="18"/>
          <w:lang w:val="nl-BE"/>
        </w:rPr>
      </w:pPr>
    </w:p>
    <w:p w14:paraId="342F3219" w14:textId="77777777" w:rsidR="00F93680" w:rsidRPr="003B1CAC" w:rsidRDefault="00F93680" w:rsidP="002B30E8">
      <w:pPr>
        <w:tabs>
          <w:tab w:val="left" w:pos="2977"/>
          <w:tab w:val="left" w:pos="3402"/>
          <w:tab w:val="left" w:pos="3969"/>
        </w:tabs>
        <w:rPr>
          <w:rFonts w:ascii="Verdana" w:hAnsi="Verdana" w:cs="Tahoma"/>
          <w:b/>
          <w:sz w:val="18"/>
          <w:szCs w:val="18"/>
          <w:lang w:val="nl-BE"/>
        </w:rPr>
      </w:pPr>
      <w:r w:rsidRPr="003B1CAC">
        <w:rPr>
          <w:rFonts w:ascii="Verdana" w:hAnsi="Verdana" w:cs="Tahoma"/>
          <w:b/>
          <w:sz w:val="18"/>
          <w:szCs w:val="18"/>
          <w:lang w:val="nl-BE"/>
        </w:rPr>
        <w:t>4.7 Beïnvloeding van de rijvaardigheid en het vermogen om machines te bedienen</w:t>
      </w:r>
      <w:r w:rsidR="00B64BEA" w:rsidRPr="003B1CAC">
        <w:rPr>
          <w:rFonts w:ascii="Verdana" w:hAnsi="Verdana" w:cs="Tahoma"/>
          <w:sz w:val="18"/>
          <w:szCs w:val="18"/>
          <w:vertAlign w:val="superscript"/>
          <w:lang w:val="nl-BE"/>
        </w:rPr>
        <w:t>[2]</w:t>
      </w:r>
    </w:p>
    <w:p w14:paraId="11A1B1C4" w14:textId="411EA0A9" w:rsidR="007456B4" w:rsidRPr="003B1CAC" w:rsidRDefault="00F93680" w:rsidP="002B30E8">
      <w:p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Paracetamol heeft geen invloed op de rijvaardigheid en het gebruik van</w:t>
      </w:r>
      <w:r w:rsidR="00EB668B" w:rsidRPr="003B1CAC">
        <w:rPr>
          <w:rFonts w:ascii="Verdana" w:hAnsi="Verdana" w:cs="Arial"/>
          <w:sz w:val="18"/>
          <w:szCs w:val="18"/>
          <w:lang w:val="nl-BE"/>
        </w:rPr>
        <w:t xml:space="preserve"> </w:t>
      </w:r>
      <w:r w:rsidRPr="003B1CAC">
        <w:rPr>
          <w:rFonts w:ascii="Verdana" w:hAnsi="Verdana" w:cs="Arial"/>
          <w:sz w:val="18"/>
          <w:szCs w:val="18"/>
          <w:lang w:val="nl-BE"/>
        </w:rPr>
        <w:t>machines.</w:t>
      </w:r>
    </w:p>
    <w:p w14:paraId="032D6707" w14:textId="77777777" w:rsidR="00F93680" w:rsidRPr="003B1CAC" w:rsidRDefault="00F93680" w:rsidP="002B30E8">
      <w:pPr>
        <w:tabs>
          <w:tab w:val="left" w:pos="2977"/>
          <w:tab w:val="left" w:pos="3402"/>
          <w:tab w:val="left" w:pos="3969"/>
        </w:tabs>
        <w:rPr>
          <w:rFonts w:ascii="Verdana" w:hAnsi="Verdana" w:cs="Arial"/>
          <w:sz w:val="18"/>
          <w:szCs w:val="18"/>
          <w:lang w:val="nl-BE"/>
        </w:rPr>
      </w:pPr>
    </w:p>
    <w:p w14:paraId="7FD61B35" w14:textId="4F065088" w:rsidR="008A2108" w:rsidRPr="003B1CAC" w:rsidRDefault="008A2108" w:rsidP="002B30E8">
      <w:pPr>
        <w:tabs>
          <w:tab w:val="left" w:pos="2977"/>
          <w:tab w:val="left" w:pos="3402"/>
          <w:tab w:val="left" w:pos="3969"/>
        </w:tabs>
        <w:rPr>
          <w:rFonts w:ascii="Verdana" w:hAnsi="Verdana" w:cs="Tahoma"/>
          <w:sz w:val="18"/>
          <w:szCs w:val="18"/>
          <w:vertAlign w:val="superscript"/>
          <w:lang w:val="nl-BE"/>
        </w:rPr>
      </w:pPr>
      <w:r w:rsidRPr="003B1CAC">
        <w:rPr>
          <w:rFonts w:ascii="Verdana" w:hAnsi="Verdana" w:cs="Arial"/>
          <w:b/>
          <w:sz w:val="18"/>
          <w:szCs w:val="18"/>
          <w:lang w:val="nl-BE"/>
        </w:rPr>
        <w:t>4.8 Bijwerkingen</w:t>
      </w:r>
      <w:r w:rsidR="00904E73" w:rsidRPr="003B1CAC">
        <w:rPr>
          <w:rFonts w:ascii="Verdana" w:hAnsi="Verdana" w:cs="Tahoma"/>
          <w:sz w:val="18"/>
          <w:szCs w:val="18"/>
          <w:vertAlign w:val="superscript"/>
          <w:lang w:val="nl-BE"/>
        </w:rPr>
        <w:t>[</w:t>
      </w:r>
      <w:r w:rsidR="00314DD4" w:rsidRPr="003B1CAC">
        <w:rPr>
          <w:rFonts w:ascii="Verdana" w:hAnsi="Verdana" w:cs="Tahoma"/>
          <w:sz w:val="18"/>
          <w:szCs w:val="18"/>
          <w:vertAlign w:val="superscript"/>
          <w:lang w:val="nl-BE"/>
        </w:rPr>
        <w:t>1,</w:t>
      </w:r>
      <w:r w:rsidR="00DD1C05" w:rsidRPr="003B1CAC">
        <w:rPr>
          <w:rFonts w:ascii="Verdana" w:hAnsi="Verdana" w:cs="Tahoma"/>
          <w:sz w:val="18"/>
          <w:szCs w:val="18"/>
          <w:vertAlign w:val="superscript"/>
          <w:lang w:val="nl-BE"/>
        </w:rPr>
        <w:t>2</w:t>
      </w:r>
      <w:r w:rsidR="00904E73" w:rsidRPr="003B1CAC">
        <w:rPr>
          <w:rFonts w:ascii="Verdana" w:hAnsi="Verdana" w:cs="Tahoma"/>
          <w:sz w:val="18"/>
          <w:szCs w:val="18"/>
          <w:vertAlign w:val="superscript"/>
          <w:lang w:val="nl-BE"/>
        </w:rPr>
        <w:t>]</w:t>
      </w:r>
    </w:p>
    <w:p w14:paraId="2070D4E0" w14:textId="77777777" w:rsidR="00AE536E" w:rsidRPr="003B1CAC" w:rsidRDefault="00AE536E"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De bijwerkingen zijn weergegeven per orgaanklasse en volgens frequentie van optreden.</w:t>
      </w:r>
    </w:p>
    <w:p w14:paraId="23A35837" w14:textId="77777777" w:rsidR="00AE536E" w:rsidRPr="003B1CAC" w:rsidRDefault="00AE536E"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De volgende conventie werd gebruikt voor de classificatie van bijwerkingen per frequentie:</w:t>
      </w:r>
    </w:p>
    <w:p w14:paraId="57CF6098" w14:textId="77777777" w:rsidR="005C20CC" w:rsidRPr="003B1CAC" w:rsidRDefault="005C20CC" w:rsidP="002B30E8">
      <w:pPr>
        <w:widowControl w:val="0"/>
        <w:autoSpaceDE w:val="0"/>
        <w:autoSpaceDN w:val="0"/>
        <w:adjustRightInd w:val="0"/>
        <w:rPr>
          <w:rFonts w:ascii="Verdana" w:hAnsi="Verdana" w:cs="Tahoma"/>
          <w:sz w:val="18"/>
          <w:szCs w:val="18"/>
          <w:lang w:val="nl-BE" w:bidi="en-US"/>
        </w:rPr>
      </w:pPr>
    </w:p>
    <w:p w14:paraId="301B4170" w14:textId="1F9F134C" w:rsidR="005C20CC" w:rsidRPr="003B1CAC" w:rsidRDefault="005C20CC"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z</w:t>
      </w:r>
      <w:r w:rsidR="00AE536E" w:rsidRPr="003B1CAC">
        <w:rPr>
          <w:rFonts w:ascii="Verdana" w:hAnsi="Verdana" w:cs="Tahoma"/>
          <w:sz w:val="18"/>
          <w:szCs w:val="18"/>
          <w:lang w:val="nl-BE" w:bidi="en-US"/>
        </w:rPr>
        <w:t>eer vaak (</w:t>
      </w:r>
      <w:r w:rsidR="00FF6EE3" w:rsidRPr="003B1CAC">
        <w:rPr>
          <w:rFonts w:ascii="Verdana" w:hAnsi="Verdana" w:cs="Tahoma"/>
          <w:sz w:val="18"/>
          <w:szCs w:val="18"/>
          <w:lang w:val="nl-BE" w:bidi="en-US"/>
        </w:rPr>
        <w:t>≥</w:t>
      </w:r>
      <w:r w:rsidR="00AE536E" w:rsidRPr="003B1CAC">
        <w:rPr>
          <w:rFonts w:ascii="Verdana" w:hAnsi="Verdana" w:cs="Tahoma"/>
          <w:sz w:val="18"/>
          <w:szCs w:val="18"/>
          <w:lang w:val="nl-BE" w:bidi="en-US"/>
        </w:rPr>
        <w:t>1/10)</w:t>
      </w:r>
    </w:p>
    <w:p w14:paraId="573DAD1B" w14:textId="34B403C8" w:rsidR="005C20CC" w:rsidRPr="003B1CAC" w:rsidRDefault="00AE536E"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vaak (</w:t>
      </w:r>
      <w:r w:rsidR="00FF6EE3" w:rsidRPr="003B1CAC">
        <w:rPr>
          <w:rFonts w:ascii="Verdana" w:hAnsi="Verdana" w:cs="Tahoma"/>
          <w:sz w:val="18"/>
          <w:szCs w:val="18"/>
          <w:lang w:val="nl-BE" w:bidi="en-US"/>
        </w:rPr>
        <w:t>≥</w:t>
      </w:r>
      <w:r w:rsidRPr="003B1CAC">
        <w:rPr>
          <w:rFonts w:ascii="Verdana" w:hAnsi="Verdana" w:cs="Tahoma"/>
          <w:sz w:val="18"/>
          <w:szCs w:val="18"/>
          <w:lang w:val="nl-BE" w:bidi="en-US"/>
        </w:rPr>
        <w:t>1/100, &lt;1/10)</w:t>
      </w:r>
    </w:p>
    <w:p w14:paraId="6F74D60E" w14:textId="7901D9D5" w:rsidR="005C20CC" w:rsidRPr="003B1CAC" w:rsidRDefault="00AE536E"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soms (</w:t>
      </w:r>
      <w:r w:rsidR="00FF6EE3" w:rsidRPr="003B1CAC">
        <w:rPr>
          <w:rFonts w:ascii="Verdana" w:hAnsi="Verdana" w:cs="Tahoma"/>
          <w:sz w:val="18"/>
          <w:szCs w:val="18"/>
          <w:lang w:val="nl-BE" w:bidi="en-US"/>
        </w:rPr>
        <w:t>≥</w:t>
      </w:r>
      <w:r w:rsidRPr="003B1CAC">
        <w:rPr>
          <w:rFonts w:ascii="Verdana" w:hAnsi="Verdana" w:cs="Tahoma"/>
          <w:sz w:val="18"/>
          <w:szCs w:val="18"/>
          <w:lang w:val="nl-BE" w:bidi="en-US"/>
        </w:rPr>
        <w:t>1/1.000, &lt;1/100)</w:t>
      </w:r>
    </w:p>
    <w:p w14:paraId="48F9ABD6" w14:textId="570EB9D6" w:rsidR="005C20CC" w:rsidRPr="003B1CAC" w:rsidRDefault="00AE536E"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zelden (</w:t>
      </w:r>
      <w:r w:rsidR="00FF6EE3" w:rsidRPr="003B1CAC">
        <w:rPr>
          <w:rFonts w:ascii="Verdana" w:hAnsi="Verdana" w:cs="Tahoma"/>
          <w:sz w:val="18"/>
          <w:szCs w:val="18"/>
          <w:lang w:val="nl-BE" w:bidi="en-US"/>
        </w:rPr>
        <w:t>≥</w:t>
      </w:r>
      <w:r w:rsidRPr="003B1CAC">
        <w:rPr>
          <w:rFonts w:ascii="Verdana" w:hAnsi="Verdana" w:cs="Tahoma"/>
          <w:sz w:val="18"/>
          <w:szCs w:val="18"/>
          <w:lang w:val="nl-BE" w:bidi="en-US"/>
        </w:rPr>
        <w:t>1/10.000, &lt;1/1.000)</w:t>
      </w:r>
    </w:p>
    <w:p w14:paraId="7F1D70C4" w14:textId="5345056F" w:rsidR="005C20CC" w:rsidRPr="003B1CAC" w:rsidRDefault="00AE536E"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zeer zelden (&lt;1/10.000)</w:t>
      </w:r>
    </w:p>
    <w:p w14:paraId="4C7BEA5B" w14:textId="3FFF7643" w:rsidR="00AE536E" w:rsidRPr="003B1CAC" w:rsidRDefault="00AA7CBD"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niet bekend (kan met de beschikbare gegevens niet worden bepaald)</w:t>
      </w:r>
    </w:p>
    <w:p w14:paraId="48DA7DA0" w14:textId="77777777" w:rsidR="00AE536E" w:rsidRPr="003B1CAC" w:rsidRDefault="00AE536E" w:rsidP="002B30E8">
      <w:pPr>
        <w:widowControl w:val="0"/>
        <w:autoSpaceDE w:val="0"/>
        <w:autoSpaceDN w:val="0"/>
        <w:adjustRightInd w:val="0"/>
        <w:rPr>
          <w:rFonts w:ascii="Verdana" w:hAnsi="Verdana" w:cs="TimesNewRomanPS-BoldMT"/>
          <w:sz w:val="18"/>
          <w:szCs w:val="18"/>
          <w:lang w:val="nl-BE"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2283"/>
        <w:gridCol w:w="2782"/>
        <w:gridCol w:w="1814"/>
      </w:tblGrid>
      <w:tr w:rsidR="00904E73" w:rsidRPr="003B1CAC" w14:paraId="1E1722AD" w14:textId="77777777" w:rsidTr="00A17FB0">
        <w:tc>
          <w:tcPr>
            <w:tcW w:w="0" w:type="auto"/>
            <w:shd w:val="clear" w:color="auto" w:fill="F3F3F3"/>
          </w:tcPr>
          <w:p w14:paraId="0112316E"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Systeem/orgaanklasse</w:t>
            </w:r>
          </w:p>
        </w:tc>
        <w:tc>
          <w:tcPr>
            <w:tcW w:w="0" w:type="auto"/>
            <w:shd w:val="clear" w:color="auto" w:fill="F3F3F3"/>
          </w:tcPr>
          <w:p w14:paraId="31FEF552" w14:textId="6AFC3183" w:rsidR="00904E73" w:rsidRPr="003B1CAC" w:rsidRDefault="00904E73" w:rsidP="002B30E8">
            <w:pPr>
              <w:widowControl w:val="0"/>
              <w:autoSpaceDE w:val="0"/>
              <w:autoSpaceDN w:val="0"/>
              <w:adjustRightInd w:val="0"/>
              <w:rPr>
                <w:rFonts w:ascii="Verdana" w:hAnsi="Verdana" w:cs="TimesNewRomanPS-BoldMT"/>
                <w:sz w:val="18"/>
                <w:szCs w:val="18"/>
                <w:lang w:val="nl-BE" w:bidi="en-US"/>
              </w:rPr>
            </w:pPr>
            <w:r w:rsidRPr="003B1CAC">
              <w:rPr>
                <w:rFonts w:ascii="Verdana" w:hAnsi="Verdana" w:cs="Tahoma"/>
                <w:sz w:val="18"/>
                <w:szCs w:val="18"/>
                <w:lang w:val="nl-BE" w:bidi="en-US"/>
              </w:rPr>
              <w:t>zelden (</w:t>
            </w:r>
            <w:r w:rsidR="00B434C6" w:rsidRPr="003B1CAC">
              <w:rPr>
                <w:rFonts w:ascii="Verdana" w:hAnsi="Verdana" w:cs="Tahoma"/>
                <w:sz w:val="18"/>
                <w:szCs w:val="18"/>
                <w:lang w:val="nl-BE" w:bidi="en-US"/>
              </w:rPr>
              <w:t>≥</w:t>
            </w:r>
            <w:r w:rsidRPr="003B1CAC">
              <w:rPr>
                <w:rFonts w:ascii="Verdana" w:hAnsi="Verdana" w:cs="Tahoma"/>
                <w:sz w:val="18"/>
                <w:szCs w:val="18"/>
                <w:lang w:val="nl-BE" w:bidi="en-US"/>
              </w:rPr>
              <w:t>1/10.000, &lt;1/1.000)</w:t>
            </w:r>
          </w:p>
        </w:tc>
        <w:tc>
          <w:tcPr>
            <w:tcW w:w="0" w:type="auto"/>
            <w:shd w:val="clear" w:color="auto" w:fill="F3F3F3"/>
          </w:tcPr>
          <w:p w14:paraId="1D1612A6" w14:textId="77777777" w:rsidR="00904E73" w:rsidRPr="003B1CAC" w:rsidRDefault="00904E73" w:rsidP="002B30E8">
            <w:pPr>
              <w:widowControl w:val="0"/>
              <w:autoSpaceDE w:val="0"/>
              <w:autoSpaceDN w:val="0"/>
              <w:adjustRightInd w:val="0"/>
              <w:rPr>
                <w:rFonts w:ascii="Verdana" w:hAnsi="Verdana" w:cs="TimesNewRomanPS-BoldMT"/>
                <w:sz w:val="18"/>
                <w:szCs w:val="18"/>
                <w:lang w:val="nl-BE" w:bidi="en-US"/>
              </w:rPr>
            </w:pPr>
            <w:r w:rsidRPr="003B1CAC">
              <w:rPr>
                <w:rFonts w:ascii="Verdana" w:hAnsi="Verdana" w:cs="Tahoma"/>
                <w:sz w:val="18"/>
                <w:szCs w:val="18"/>
                <w:lang w:val="nl-BE" w:bidi="en-US"/>
              </w:rPr>
              <w:t>zeer zelden (&lt;1/10.000)</w:t>
            </w:r>
          </w:p>
        </w:tc>
        <w:tc>
          <w:tcPr>
            <w:tcW w:w="0" w:type="auto"/>
            <w:shd w:val="clear" w:color="auto" w:fill="F3F3F3"/>
          </w:tcPr>
          <w:p w14:paraId="72D630B2"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Frequentie niet gekend</w:t>
            </w:r>
          </w:p>
        </w:tc>
      </w:tr>
      <w:tr w:rsidR="00904E73" w:rsidRPr="003B1CAC" w14:paraId="00D96AAA" w14:textId="77777777" w:rsidTr="00A17FB0">
        <w:tc>
          <w:tcPr>
            <w:tcW w:w="0" w:type="auto"/>
          </w:tcPr>
          <w:p w14:paraId="789A0868"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Bloed- en lymfestelsel</w:t>
            </w:r>
            <w:r w:rsidR="008E4403" w:rsidRPr="003B1CAC">
              <w:rPr>
                <w:rFonts w:ascii="Verdana" w:hAnsi="Verdana" w:cs="Tahoma"/>
                <w:sz w:val="18"/>
                <w:szCs w:val="18"/>
                <w:lang w:val="nl-BE" w:bidi="en-US"/>
              </w:rPr>
              <w:t>-</w:t>
            </w:r>
            <w:r w:rsidRPr="003B1CAC">
              <w:rPr>
                <w:rFonts w:ascii="Verdana" w:hAnsi="Verdana" w:cs="Tahoma"/>
                <w:sz w:val="18"/>
                <w:szCs w:val="18"/>
                <w:lang w:val="nl-BE" w:bidi="en-US"/>
              </w:rPr>
              <w:t>aandoeningen</w:t>
            </w:r>
          </w:p>
        </w:tc>
        <w:tc>
          <w:tcPr>
            <w:tcW w:w="0" w:type="auto"/>
          </w:tcPr>
          <w:p w14:paraId="48417B83" w14:textId="77777777" w:rsidR="00904E73" w:rsidRPr="003B1CAC" w:rsidRDefault="00904E73" w:rsidP="002B30E8">
            <w:pPr>
              <w:widowControl w:val="0"/>
              <w:autoSpaceDE w:val="0"/>
              <w:autoSpaceDN w:val="0"/>
              <w:adjustRightInd w:val="0"/>
              <w:rPr>
                <w:rFonts w:ascii="Verdana" w:hAnsi="Verdana" w:cs="Tahoma"/>
                <w:strike/>
                <w:sz w:val="18"/>
                <w:szCs w:val="18"/>
                <w:lang w:val="nl-BE" w:bidi="en-US"/>
              </w:rPr>
            </w:pPr>
          </w:p>
        </w:tc>
        <w:tc>
          <w:tcPr>
            <w:tcW w:w="0" w:type="auto"/>
          </w:tcPr>
          <w:p w14:paraId="132C22A4" w14:textId="2BB54CC8" w:rsidR="00904E73" w:rsidRPr="003B1CAC" w:rsidRDefault="008E4403" w:rsidP="002B30E8">
            <w:pPr>
              <w:widowControl w:val="0"/>
              <w:autoSpaceDE w:val="0"/>
              <w:autoSpaceDN w:val="0"/>
              <w:adjustRightInd w:val="0"/>
              <w:rPr>
                <w:rFonts w:ascii="Verdana" w:hAnsi="Verdana" w:cs="Tahoma"/>
                <w:sz w:val="18"/>
                <w:szCs w:val="18"/>
                <w:lang w:val="nl-BE" w:bidi="en-US"/>
              </w:rPr>
            </w:pPr>
            <w:proofErr w:type="spellStart"/>
            <w:r w:rsidRPr="003B1CAC">
              <w:rPr>
                <w:rFonts w:ascii="Verdana" w:hAnsi="Verdana" w:cs="Tahoma"/>
                <w:sz w:val="18"/>
                <w:szCs w:val="18"/>
                <w:lang w:val="nl-BE" w:bidi="en-US"/>
              </w:rPr>
              <w:t>T</w:t>
            </w:r>
            <w:r w:rsidR="00904E73" w:rsidRPr="003B1CAC">
              <w:rPr>
                <w:rFonts w:ascii="Verdana" w:hAnsi="Verdana" w:cs="Tahoma"/>
                <w:sz w:val="18"/>
                <w:szCs w:val="18"/>
                <w:lang w:val="nl-BE" w:bidi="en-US"/>
              </w:rPr>
              <w:t>hrombocytopenie</w:t>
            </w:r>
            <w:proofErr w:type="spellEnd"/>
            <w:r w:rsidR="00C33435" w:rsidRPr="003B1CAC">
              <w:rPr>
                <w:rFonts w:ascii="Verdana" w:hAnsi="Verdana" w:cs="Arial"/>
                <w:sz w:val="18"/>
                <w:szCs w:val="18"/>
                <w:vertAlign w:val="superscript"/>
                <w:lang w:val="nl-BE"/>
              </w:rPr>
              <w:t>[</w:t>
            </w:r>
            <w:r w:rsidR="00C33435" w:rsidRPr="003B1CAC">
              <w:rPr>
                <w:rFonts w:ascii="Verdana" w:hAnsi="Verdana" w:cs="Tahoma"/>
                <w:sz w:val="18"/>
                <w:szCs w:val="18"/>
                <w:vertAlign w:val="superscript"/>
                <w:lang w:val="nl-BE" w:bidi="en-US"/>
              </w:rPr>
              <w:t>1,2</w:t>
            </w:r>
            <w:r w:rsidR="00C33435" w:rsidRPr="003B1CAC">
              <w:rPr>
                <w:rFonts w:ascii="Verdana" w:hAnsi="Verdana" w:cs="Arial"/>
                <w:sz w:val="18"/>
                <w:szCs w:val="18"/>
                <w:vertAlign w:val="superscript"/>
                <w:lang w:val="nl-BE"/>
              </w:rPr>
              <w:t>]</w:t>
            </w:r>
            <w:r w:rsidR="00904E73" w:rsidRPr="003B1CAC">
              <w:rPr>
                <w:rFonts w:ascii="Verdana" w:hAnsi="Verdana" w:cs="Tahoma"/>
                <w:sz w:val="18"/>
                <w:szCs w:val="18"/>
                <w:lang w:val="nl-BE" w:bidi="en-US"/>
              </w:rPr>
              <w:t>,</w:t>
            </w:r>
            <w:r w:rsidR="00AC1009" w:rsidRPr="003B1CAC">
              <w:rPr>
                <w:rFonts w:ascii="Verdana" w:hAnsi="Verdana" w:cs="Tahoma"/>
                <w:sz w:val="18"/>
                <w:szCs w:val="18"/>
                <w:lang w:val="nl-BE" w:bidi="en-US"/>
              </w:rPr>
              <w:t xml:space="preserve"> </w:t>
            </w:r>
            <w:r w:rsidR="00904E73" w:rsidRPr="003B1CAC">
              <w:rPr>
                <w:rFonts w:ascii="Verdana" w:hAnsi="Verdana" w:cs="Tahoma"/>
                <w:sz w:val="18"/>
                <w:szCs w:val="18"/>
                <w:lang w:val="nl-BE" w:bidi="en-US"/>
              </w:rPr>
              <w:t>leukopenie</w:t>
            </w:r>
            <w:r w:rsidR="00C33435" w:rsidRPr="003B1CAC">
              <w:rPr>
                <w:rFonts w:ascii="Verdana" w:hAnsi="Verdana" w:cs="Arial"/>
                <w:sz w:val="18"/>
                <w:szCs w:val="18"/>
                <w:vertAlign w:val="superscript"/>
                <w:lang w:val="nl-BE"/>
              </w:rPr>
              <w:t>[</w:t>
            </w:r>
            <w:r w:rsidR="00C33435" w:rsidRPr="003B1CAC">
              <w:rPr>
                <w:rFonts w:ascii="Verdana" w:hAnsi="Verdana" w:cs="Tahoma"/>
                <w:sz w:val="18"/>
                <w:szCs w:val="18"/>
                <w:vertAlign w:val="superscript"/>
                <w:lang w:val="nl-BE" w:bidi="en-US"/>
              </w:rPr>
              <w:t>1,2</w:t>
            </w:r>
            <w:r w:rsidR="00C33435" w:rsidRPr="003B1CAC">
              <w:rPr>
                <w:rFonts w:ascii="Verdana" w:hAnsi="Verdana" w:cs="Arial"/>
                <w:sz w:val="18"/>
                <w:szCs w:val="18"/>
                <w:vertAlign w:val="superscript"/>
                <w:lang w:val="nl-BE"/>
              </w:rPr>
              <w:t>]</w:t>
            </w:r>
            <w:r w:rsidR="00904E73" w:rsidRPr="003B1CAC">
              <w:rPr>
                <w:rFonts w:ascii="Verdana" w:hAnsi="Verdana" w:cs="Tahoma"/>
                <w:sz w:val="18"/>
                <w:szCs w:val="18"/>
                <w:lang w:val="nl-BE" w:bidi="en-US"/>
              </w:rPr>
              <w:t>, pancytopenie</w:t>
            </w:r>
            <w:r w:rsidR="003766E5" w:rsidRPr="003B1CAC">
              <w:rPr>
                <w:rFonts w:ascii="Verdana" w:hAnsi="Verdana" w:cs="Arial"/>
                <w:sz w:val="18"/>
                <w:szCs w:val="18"/>
                <w:vertAlign w:val="superscript"/>
                <w:lang w:val="nl-BE"/>
              </w:rPr>
              <w:t>[</w:t>
            </w:r>
            <w:r w:rsidR="00FC7102" w:rsidRPr="003B1CAC">
              <w:rPr>
                <w:rFonts w:ascii="Verdana" w:hAnsi="Verdana" w:cs="Tahoma"/>
                <w:sz w:val="18"/>
                <w:szCs w:val="18"/>
                <w:vertAlign w:val="superscript"/>
                <w:lang w:val="nl-BE" w:bidi="en-US"/>
              </w:rPr>
              <w:t>1</w:t>
            </w:r>
            <w:r w:rsidR="002B0E30" w:rsidRPr="003B1CAC">
              <w:rPr>
                <w:rFonts w:ascii="Verdana" w:hAnsi="Verdana" w:cs="Tahoma"/>
                <w:sz w:val="18"/>
                <w:szCs w:val="18"/>
                <w:vertAlign w:val="superscript"/>
                <w:lang w:val="nl-BE" w:bidi="en-US"/>
              </w:rPr>
              <w:t>,2</w:t>
            </w:r>
            <w:r w:rsidR="003766E5" w:rsidRPr="003B1CAC">
              <w:rPr>
                <w:rFonts w:ascii="Verdana" w:hAnsi="Verdana" w:cs="Arial"/>
                <w:sz w:val="18"/>
                <w:szCs w:val="18"/>
                <w:vertAlign w:val="superscript"/>
                <w:lang w:val="nl-BE"/>
              </w:rPr>
              <w:t>]</w:t>
            </w:r>
            <w:r w:rsidR="00904E73" w:rsidRPr="003B1CAC">
              <w:rPr>
                <w:rFonts w:ascii="Verdana" w:hAnsi="Verdana" w:cs="Tahoma"/>
                <w:sz w:val="18"/>
                <w:szCs w:val="18"/>
                <w:lang w:val="nl-BE" w:bidi="en-US"/>
              </w:rPr>
              <w:t>, neutropenie</w:t>
            </w:r>
            <w:r w:rsidR="003766E5" w:rsidRPr="003B1CAC">
              <w:rPr>
                <w:rFonts w:ascii="Verdana" w:hAnsi="Verdana" w:cs="Arial"/>
                <w:sz w:val="18"/>
                <w:szCs w:val="18"/>
                <w:vertAlign w:val="superscript"/>
                <w:lang w:val="nl-BE"/>
              </w:rPr>
              <w:t>[</w:t>
            </w:r>
            <w:r w:rsidR="00FC7102" w:rsidRPr="003B1CAC">
              <w:rPr>
                <w:rFonts w:ascii="Verdana" w:hAnsi="Verdana" w:cs="Tahoma"/>
                <w:sz w:val="18"/>
                <w:szCs w:val="18"/>
                <w:vertAlign w:val="superscript"/>
                <w:lang w:val="nl-BE" w:bidi="en-US"/>
              </w:rPr>
              <w:t>1</w:t>
            </w:r>
            <w:r w:rsidR="002B0E30" w:rsidRPr="003B1CAC">
              <w:rPr>
                <w:rFonts w:ascii="Verdana" w:hAnsi="Verdana" w:cs="Tahoma"/>
                <w:sz w:val="18"/>
                <w:szCs w:val="18"/>
                <w:vertAlign w:val="superscript"/>
                <w:lang w:val="nl-BE" w:bidi="en-US"/>
              </w:rPr>
              <w:t>,2</w:t>
            </w:r>
            <w:r w:rsidR="003766E5" w:rsidRPr="003B1CAC">
              <w:rPr>
                <w:rFonts w:ascii="Verdana" w:hAnsi="Verdana" w:cs="Arial"/>
                <w:sz w:val="18"/>
                <w:szCs w:val="18"/>
                <w:vertAlign w:val="superscript"/>
                <w:lang w:val="nl-BE"/>
              </w:rPr>
              <w:t>]</w:t>
            </w:r>
          </w:p>
          <w:p w14:paraId="1F399D16" w14:textId="3767CE85" w:rsidR="00904E73" w:rsidRPr="003B1CAC" w:rsidRDefault="00904E73" w:rsidP="002B30E8">
            <w:pPr>
              <w:widowControl w:val="0"/>
              <w:autoSpaceDE w:val="0"/>
              <w:autoSpaceDN w:val="0"/>
              <w:adjustRightInd w:val="0"/>
              <w:rPr>
                <w:rFonts w:ascii="Verdana" w:hAnsi="Verdana" w:cs="Tahoma"/>
                <w:sz w:val="18"/>
                <w:szCs w:val="18"/>
                <w:u w:val="single"/>
                <w:lang w:val="nl-BE" w:bidi="en-US"/>
              </w:rPr>
            </w:pPr>
            <w:r w:rsidRPr="003B1CAC">
              <w:rPr>
                <w:rFonts w:ascii="Verdana" w:hAnsi="Verdana" w:cs="Tahoma"/>
                <w:sz w:val="18"/>
                <w:szCs w:val="18"/>
                <w:lang w:val="nl-BE" w:bidi="en-US"/>
              </w:rPr>
              <w:t>hemolytische anemie</w:t>
            </w:r>
            <w:r w:rsidR="003766E5" w:rsidRPr="003B1CAC">
              <w:rPr>
                <w:rFonts w:ascii="Verdana" w:hAnsi="Verdana" w:cs="Arial"/>
                <w:sz w:val="18"/>
                <w:szCs w:val="18"/>
                <w:vertAlign w:val="superscript"/>
                <w:lang w:val="nl-BE"/>
              </w:rPr>
              <w:t>[</w:t>
            </w:r>
            <w:r w:rsidR="002B0E30" w:rsidRPr="003B1CAC">
              <w:rPr>
                <w:rFonts w:ascii="Verdana" w:hAnsi="Verdana" w:cs="Tahoma"/>
                <w:sz w:val="18"/>
                <w:szCs w:val="18"/>
                <w:vertAlign w:val="superscript"/>
                <w:lang w:val="nl-BE" w:bidi="en-US"/>
              </w:rPr>
              <w:t>8,2</w:t>
            </w:r>
            <w:r w:rsidR="003766E5" w:rsidRPr="003B1CAC">
              <w:rPr>
                <w:rFonts w:ascii="Verdana" w:hAnsi="Verdana" w:cs="Arial"/>
                <w:sz w:val="18"/>
                <w:szCs w:val="18"/>
                <w:vertAlign w:val="superscript"/>
                <w:lang w:val="nl-BE"/>
              </w:rPr>
              <w:t>]</w:t>
            </w:r>
            <w:r w:rsidRPr="003B1CAC">
              <w:rPr>
                <w:rFonts w:ascii="Verdana" w:hAnsi="Verdana" w:cs="Tahoma"/>
                <w:sz w:val="18"/>
                <w:szCs w:val="18"/>
                <w:lang w:val="nl-BE" w:bidi="en-US"/>
              </w:rPr>
              <w:t>, agranulocytose</w:t>
            </w:r>
            <w:r w:rsidR="003766E5" w:rsidRPr="003B1CAC">
              <w:rPr>
                <w:rFonts w:ascii="Verdana" w:hAnsi="Verdana" w:cs="Arial"/>
                <w:sz w:val="18"/>
                <w:szCs w:val="18"/>
                <w:vertAlign w:val="superscript"/>
                <w:lang w:val="nl-BE"/>
              </w:rPr>
              <w:t>[</w:t>
            </w:r>
            <w:r w:rsidR="00FC7102" w:rsidRPr="003B1CAC">
              <w:rPr>
                <w:rFonts w:ascii="Verdana" w:hAnsi="Verdana" w:cs="Tahoma"/>
                <w:sz w:val="18"/>
                <w:szCs w:val="18"/>
                <w:vertAlign w:val="superscript"/>
                <w:lang w:val="nl-BE" w:bidi="en-US"/>
              </w:rPr>
              <w:t>1</w:t>
            </w:r>
            <w:r w:rsidR="002B0E30" w:rsidRPr="003B1CAC">
              <w:rPr>
                <w:rFonts w:ascii="Verdana" w:hAnsi="Verdana" w:cs="Tahoma"/>
                <w:sz w:val="18"/>
                <w:szCs w:val="18"/>
                <w:vertAlign w:val="superscript"/>
                <w:lang w:val="nl-BE" w:bidi="en-US"/>
              </w:rPr>
              <w:t>,2</w:t>
            </w:r>
            <w:r w:rsidR="003766E5" w:rsidRPr="003B1CAC">
              <w:rPr>
                <w:rFonts w:ascii="Verdana" w:hAnsi="Verdana" w:cs="Arial"/>
                <w:sz w:val="18"/>
                <w:szCs w:val="18"/>
                <w:vertAlign w:val="superscript"/>
                <w:lang w:val="nl-BE"/>
              </w:rPr>
              <w:t>]</w:t>
            </w:r>
          </w:p>
        </w:tc>
        <w:tc>
          <w:tcPr>
            <w:tcW w:w="0" w:type="auto"/>
          </w:tcPr>
          <w:p w14:paraId="004C0E9E" w14:textId="5FB88084"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anemie</w:t>
            </w:r>
            <w:r w:rsidR="003766E5" w:rsidRPr="003B1CAC">
              <w:rPr>
                <w:rFonts w:ascii="Verdana" w:hAnsi="Verdana" w:cs="Arial"/>
                <w:sz w:val="18"/>
                <w:szCs w:val="18"/>
                <w:vertAlign w:val="superscript"/>
                <w:lang w:val="nl-BE"/>
              </w:rPr>
              <w:t>[</w:t>
            </w:r>
            <w:r w:rsidR="002B0E30" w:rsidRPr="003B1CAC">
              <w:rPr>
                <w:rFonts w:ascii="Verdana" w:hAnsi="Verdana" w:cs="Tahoma"/>
                <w:sz w:val="18"/>
                <w:szCs w:val="18"/>
                <w:vertAlign w:val="superscript"/>
                <w:lang w:val="nl-BE" w:bidi="en-US"/>
              </w:rPr>
              <w:t>8,2</w:t>
            </w:r>
            <w:r w:rsidR="003766E5" w:rsidRPr="003B1CAC">
              <w:rPr>
                <w:rFonts w:ascii="Verdana" w:hAnsi="Verdana" w:cs="Arial"/>
                <w:sz w:val="18"/>
                <w:szCs w:val="18"/>
                <w:vertAlign w:val="superscript"/>
                <w:lang w:val="nl-BE"/>
              </w:rPr>
              <w:t>]</w:t>
            </w:r>
          </w:p>
        </w:tc>
      </w:tr>
      <w:tr w:rsidR="00904E73" w:rsidRPr="003B1CAC" w14:paraId="4610D81F" w14:textId="77777777" w:rsidTr="00A17FB0">
        <w:tc>
          <w:tcPr>
            <w:tcW w:w="0" w:type="auto"/>
          </w:tcPr>
          <w:p w14:paraId="2FDDB621"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Immuunsysteem</w:t>
            </w:r>
            <w:r w:rsidR="008E4403" w:rsidRPr="003B1CAC">
              <w:rPr>
                <w:rFonts w:ascii="Verdana" w:hAnsi="Verdana" w:cs="Tahoma"/>
                <w:sz w:val="18"/>
                <w:szCs w:val="18"/>
                <w:lang w:val="nl-BE" w:bidi="en-US"/>
              </w:rPr>
              <w:t>-</w:t>
            </w:r>
            <w:r w:rsidRPr="003B1CAC">
              <w:rPr>
                <w:rFonts w:ascii="Verdana" w:hAnsi="Verdana" w:cs="Tahoma"/>
                <w:sz w:val="18"/>
                <w:szCs w:val="18"/>
                <w:lang w:val="nl-BE" w:bidi="en-US"/>
              </w:rPr>
              <w:t>aandoeningen</w:t>
            </w:r>
          </w:p>
        </w:tc>
        <w:tc>
          <w:tcPr>
            <w:tcW w:w="0" w:type="auto"/>
          </w:tcPr>
          <w:p w14:paraId="67A0E4F1" w14:textId="5C909202"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allergische reacties</w:t>
            </w:r>
            <w:r w:rsidR="00B434C6" w:rsidRPr="003B1CAC">
              <w:rPr>
                <w:rFonts w:ascii="Verdana" w:hAnsi="Verdana" w:cs="Tahoma"/>
                <w:sz w:val="18"/>
                <w:szCs w:val="18"/>
                <w:vertAlign w:val="superscript"/>
                <w:lang w:val="nl-BE" w:bidi="en-US"/>
              </w:rPr>
              <w:t>[</w:t>
            </w:r>
            <w:r w:rsidR="005F7CE1" w:rsidRPr="003B1CAC">
              <w:rPr>
                <w:rFonts w:ascii="Verdana" w:hAnsi="Verdana" w:cs="Tahoma"/>
                <w:sz w:val="18"/>
                <w:szCs w:val="18"/>
                <w:vertAlign w:val="superscript"/>
                <w:lang w:val="nl-BE" w:bidi="en-US"/>
              </w:rPr>
              <w:t>1,2</w:t>
            </w:r>
            <w:r w:rsidR="00B434C6" w:rsidRPr="003B1CAC">
              <w:rPr>
                <w:rFonts w:ascii="Verdana" w:hAnsi="Verdana" w:cs="Tahoma"/>
                <w:sz w:val="18"/>
                <w:szCs w:val="18"/>
                <w:vertAlign w:val="superscript"/>
                <w:lang w:val="nl-BE" w:bidi="en-US"/>
              </w:rPr>
              <w:t>]</w:t>
            </w:r>
          </w:p>
        </w:tc>
        <w:tc>
          <w:tcPr>
            <w:tcW w:w="0" w:type="auto"/>
          </w:tcPr>
          <w:p w14:paraId="227BE59E" w14:textId="77777777" w:rsidR="00904E73" w:rsidRPr="003B1CAC" w:rsidRDefault="003841F8"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allergische reacties die stopzetten van de behandeling vereisen</w:t>
            </w:r>
          </w:p>
        </w:tc>
        <w:tc>
          <w:tcPr>
            <w:tcW w:w="0" w:type="auto"/>
          </w:tcPr>
          <w:p w14:paraId="06249FBD" w14:textId="44273D4A"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anafylactische shock</w:t>
            </w:r>
            <w:r w:rsidR="003766E5" w:rsidRPr="003B1CAC">
              <w:rPr>
                <w:rFonts w:ascii="Verdana" w:hAnsi="Verdana" w:cs="Arial"/>
                <w:sz w:val="18"/>
                <w:szCs w:val="18"/>
                <w:vertAlign w:val="superscript"/>
                <w:lang w:val="nl-BE"/>
              </w:rPr>
              <w:t>[</w:t>
            </w:r>
            <w:r w:rsidR="005F7CE1" w:rsidRPr="003B1CAC">
              <w:rPr>
                <w:rFonts w:ascii="Verdana" w:hAnsi="Verdana" w:cs="Tahoma"/>
                <w:sz w:val="18"/>
                <w:szCs w:val="18"/>
                <w:vertAlign w:val="superscript"/>
                <w:lang w:val="nl-BE" w:bidi="en-US"/>
              </w:rPr>
              <w:t>1,2</w:t>
            </w:r>
            <w:r w:rsidR="003766E5" w:rsidRPr="003B1CAC">
              <w:rPr>
                <w:rFonts w:ascii="Verdana" w:hAnsi="Verdana" w:cs="Arial"/>
                <w:sz w:val="18"/>
                <w:szCs w:val="18"/>
                <w:vertAlign w:val="superscript"/>
                <w:lang w:val="nl-BE"/>
              </w:rPr>
              <w:t>]</w:t>
            </w:r>
          </w:p>
        </w:tc>
      </w:tr>
      <w:tr w:rsidR="00904E73" w:rsidRPr="003B1CAC" w14:paraId="374A23B2" w14:textId="77777777" w:rsidTr="00A17FB0">
        <w:tc>
          <w:tcPr>
            <w:tcW w:w="0" w:type="auto"/>
          </w:tcPr>
          <w:p w14:paraId="0F3FFB86"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rPr>
              <w:t>Zenuwstelsel</w:t>
            </w:r>
            <w:r w:rsidR="008E4403" w:rsidRPr="003B1CAC">
              <w:rPr>
                <w:rFonts w:ascii="Verdana" w:hAnsi="Verdana" w:cs="Tahoma"/>
                <w:sz w:val="18"/>
                <w:szCs w:val="18"/>
                <w:lang w:val="nl-BE"/>
              </w:rPr>
              <w:t>-</w:t>
            </w:r>
            <w:r w:rsidRPr="003B1CAC">
              <w:rPr>
                <w:rFonts w:ascii="Verdana" w:hAnsi="Verdana" w:cs="Tahoma"/>
                <w:sz w:val="18"/>
                <w:szCs w:val="18"/>
                <w:lang w:val="nl-BE"/>
              </w:rPr>
              <w:t>aandoeningen</w:t>
            </w:r>
          </w:p>
        </w:tc>
        <w:tc>
          <w:tcPr>
            <w:tcW w:w="0" w:type="auto"/>
          </w:tcPr>
          <w:p w14:paraId="24A10A7D" w14:textId="1FE89F97" w:rsidR="00904E73" w:rsidRPr="003B1CAC" w:rsidRDefault="00B434C6"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H</w:t>
            </w:r>
            <w:r w:rsidR="00904E73" w:rsidRPr="003B1CAC">
              <w:rPr>
                <w:rFonts w:ascii="Verdana" w:hAnsi="Verdana" w:cs="Tahoma"/>
                <w:sz w:val="18"/>
                <w:szCs w:val="18"/>
                <w:lang w:val="nl-BE" w:bidi="en-US"/>
              </w:rPr>
              <w:t>oofdpijn</w:t>
            </w:r>
            <w:r w:rsidRPr="003B1CAC">
              <w:rPr>
                <w:rFonts w:ascii="Verdana" w:hAnsi="Verdana" w:cs="Tahoma"/>
                <w:sz w:val="18"/>
                <w:szCs w:val="18"/>
                <w:vertAlign w:val="superscript"/>
                <w:lang w:val="nl-BE" w:bidi="en-US"/>
              </w:rPr>
              <w:t>[</w:t>
            </w:r>
            <w:r w:rsidR="00751E5B" w:rsidRPr="003B1CAC">
              <w:rPr>
                <w:rFonts w:ascii="Verdana" w:hAnsi="Verdana" w:cs="Tahoma"/>
                <w:sz w:val="18"/>
                <w:szCs w:val="18"/>
                <w:vertAlign w:val="superscript"/>
                <w:lang w:val="nl-BE" w:bidi="en-US"/>
              </w:rPr>
              <w:t>8,2</w:t>
            </w:r>
            <w:r w:rsidRPr="003B1CAC">
              <w:rPr>
                <w:rFonts w:ascii="Verdana" w:hAnsi="Verdana" w:cs="Tahoma"/>
                <w:sz w:val="18"/>
                <w:szCs w:val="18"/>
                <w:vertAlign w:val="superscript"/>
                <w:lang w:val="nl-BE" w:bidi="en-US"/>
              </w:rPr>
              <w:t>]</w:t>
            </w:r>
            <w:r w:rsidR="00751E5B" w:rsidRPr="003B1CAC">
              <w:rPr>
                <w:rFonts w:ascii="Verdana" w:hAnsi="Verdana" w:cs="Tahoma"/>
                <w:sz w:val="18"/>
                <w:szCs w:val="18"/>
                <w:lang w:val="nl-BE" w:bidi="en-US"/>
              </w:rPr>
              <w:t>,</w:t>
            </w:r>
          </w:p>
        </w:tc>
        <w:tc>
          <w:tcPr>
            <w:tcW w:w="0" w:type="auto"/>
          </w:tcPr>
          <w:p w14:paraId="511C29D6"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p>
        </w:tc>
        <w:tc>
          <w:tcPr>
            <w:tcW w:w="0" w:type="auto"/>
          </w:tcPr>
          <w:p w14:paraId="407DDB12"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p>
        </w:tc>
      </w:tr>
      <w:tr w:rsidR="00904E73" w:rsidRPr="003B1CAC" w14:paraId="1A578C6C" w14:textId="77777777" w:rsidTr="00A17FB0">
        <w:tc>
          <w:tcPr>
            <w:tcW w:w="0" w:type="auto"/>
          </w:tcPr>
          <w:p w14:paraId="32483B8E"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rPr>
              <w:t>Maagdarmstelsel</w:t>
            </w:r>
            <w:r w:rsidR="008E4403" w:rsidRPr="003B1CAC">
              <w:rPr>
                <w:rFonts w:ascii="Verdana" w:hAnsi="Verdana" w:cs="Tahoma"/>
                <w:sz w:val="18"/>
                <w:szCs w:val="18"/>
                <w:lang w:val="nl-BE"/>
              </w:rPr>
              <w:t>-</w:t>
            </w:r>
            <w:r w:rsidRPr="003B1CAC">
              <w:rPr>
                <w:rFonts w:ascii="Verdana" w:hAnsi="Verdana" w:cs="Tahoma"/>
                <w:sz w:val="18"/>
                <w:szCs w:val="18"/>
                <w:lang w:val="nl-BE"/>
              </w:rPr>
              <w:t>aandoeningen</w:t>
            </w:r>
          </w:p>
        </w:tc>
        <w:tc>
          <w:tcPr>
            <w:tcW w:w="0" w:type="auto"/>
          </w:tcPr>
          <w:p w14:paraId="182192E6" w14:textId="34985510"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buikpijn</w:t>
            </w:r>
            <w:r w:rsidR="00B434C6" w:rsidRPr="003B1CAC">
              <w:rPr>
                <w:rFonts w:ascii="Verdana" w:hAnsi="Verdana" w:cs="Tahoma"/>
                <w:sz w:val="18"/>
                <w:szCs w:val="18"/>
                <w:vertAlign w:val="superscript"/>
                <w:lang w:val="nl-BE" w:bidi="en-US"/>
              </w:rPr>
              <w:t>[</w:t>
            </w:r>
            <w:r w:rsidR="00006700" w:rsidRPr="003B1CAC">
              <w:rPr>
                <w:rFonts w:ascii="Verdana" w:hAnsi="Verdana" w:cs="Tahoma"/>
                <w:sz w:val="18"/>
                <w:szCs w:val="18"/>
                <w:vertAlign w:val="superscript"/>
                <w:lang w:val="nl-BE" w:bidi="en-US"/>
              </w:rPr>
              <w:t>8,2</w:t>
            </w:r>
            <w:r w:rsidR="00B434C6" w:rsidRPr="003B1CAC">
              <w:rPr>
                <w:rFonts w:ascii="Verdana" w:hAnsi="Verdana" w:cs="Tahoma"/>
                <w:sz w:val="18"/>
                <w:szCs w:val="18"/>
                <w:vertAlign w:val="superscript"/>
                <w:lang w:val="nl-BE" w:bidi="en-US"/>
              </w:rPr>
              <w:t>]</w:t>
            </w:r>
            <w:r w:rsidRPr="003B1CAC">
              <w:rPr>
                <w:rFonts w:ascii="Verdana" w:hAnsi="Verdana" w:cs="Tahoma"/>
                <w:sz w:val="18"/>
                <w:szCs w:val="18"/>
                <w:lang w:val="nl-BE" w:bidi="en-US"/>
              </w:rPr>
              <w:t>, diarree</w:t>
            </w:r>
            <w:r w:rsidR="00B434C6" w:rsidRPr="003B1CAC">
              <w:rPr>
                <w:rFonts w:ascii="Verdana" w:hAnsi="Verdana" w:cs="Tahoma"/>
                <w:sz w:val="18"/>
                <w:szCs w:val="18"/>
                <w:vertAlign w:val="superscript"/>
                <w:lang w:val="nl-BE" w:bidi="en-US"/>
              </w:rPr>
              <w:t>[</w:t>
            </w:r>
            <w:r w:rsidR="00006700" w:rsidRPr="003B1CAC">
              <w:rPr>
                <w:rFonts w:ascii="Verdana" w:hAnsi="Verdana" w:cs="Tahoma"/>
                <w:sz w:val="18"/>
                <w:szCs w:val="18"/>
                <w:vertAlign w:val="superscript"/>
                <w:lang w:val="nl-BE" w:bidi="en-US"/>
              </w:rPr>
              <w:t>8,2</w:t>
            </w:r>
            <w:r w:rsidR="00B434C6" w:rsidRPr="003B1CAC">
              <w:rPr>
                <w:rFonts w:ascii="Verdana" w:hAnsi="Verdana" w:cs="Tahoma"/>
                <w:sz w:val="18"/>
                <w:szCs w:val="18"/>
                <w:vertAlign w:val="superscript"/>
                <w:lang w:val="nl-BE" w:bidi="en-US"/>
              </w:rPr>
              <w:t>]</w:t>
            </w:r>
            <w:r w:rsidRPr="003B1CAC">
              <w:rPr>
                <w:rFonts w:ascii="Verdana" w:hAnsi="Verdana" w:cs="Tahoma"/>
                <w:sz w:val="18"/>
                <w:szCs w:val="18"/>
                <w:lang w:val="nl-BE" w:bidi="en-US"/>
              </w:rPr>
              <w:t>, nausea</w:t>
            </w:r>
            <w:r w:rsidR="00B434C6" w:rsidRPr="003B1CAC">
              <w:rPr>
                <w:rFonts w:ascii="Verdana" w:hAnsi="Verdana" w:cs="Tahoma"/>
                <w:sz w:val="18"/>
                <w:szCs w:val="18"/>
                <w:vertAlign w:val="superscript"/>
                <w:lang w:val="nl-BE" w:bidi="en-US"/>
              </w:rPr>
              <w:t>[</w:t>
            </w:r>
            <w:r w:rsidR="00006700" w:rsidRPr="003B1CAC">
              <w:rPr>
                <w:rFonts w:ascii="Verdana" w:hAnsi="Verdana" w:cs="Tahoma"/>
                <w:sz w:val="18"/>
                <w:szCs w:val="18"/>
                <w:vertAlign w:val="superscript"/>
                <w:lang w:val="nl-BE" w:bidi="en-US"/>
              </w:rPr>
              <w:t>8,2</w:t>
            </w:r>
            <w:r w:rsidR="00B434C6" w:rsidRPr="003B1CAC">
              <w:rPr>
                <w:rFonts w:ascii="Verdana" w:hAnsi="Verdana" w:cs="Tahoma"/>
                <w:sz w:val="18"/>
                <w:szCs w:val="18"/>
                <w:vertAlign w:val="superscript"/>
                <w:lang w:val="nl-BE" w:bidi="en-US"/>
              </w:rPr>
              <w:t>]</w:t>
            </w:r>
            <w:r w:rsidRPr="003B1CAC">
              <w:rPr>
                <w:rFonts w:ascii="Verdana" w:hAnsi="Verdana" w:cs="Tahoma"/>
                <w:sz w:val="18"/>
                <w:szCs w:val="18"/>
                <w:lang w:val="nl-BE" w:bidi="en-US"/>
              </w:rPr>
              <w:t>, braken</w:t>
            </w:r>
            <w:r w:rsidR="00B434C6" w:rsidRPr="003B1CAC">
              <w:rPr>
                <w:rFonts w:ascii="Verdana" w:hAnsi="Verdana" w:cs="Tahoma"/>
                <w:sz w:val="18"/>
                <w:szCs w:val="18"/>
                <w:vertAlign w:val="superscript"/>
                <w:lang w:val="nl-BE" w:bidi="en-US"/>
              </w:rPr>
              <w:t>[</w:t>
            </w:r>
            <w:r w:rsidR="00006700" w:rsidRPr="003B1CAC">
              <w:rPr>
                <w:rFonts w:ascii="Verdana" w:hAnsi="Verdana" w:cs="Tahoma"/>
                <w:sz w:val="18"/>
                <w:szCs w:val="18"/>
                <w:vertAlign w:val="superscript"/>
                <w:lang w:val="nl-BE" w:bidi="en-US"/>
              </w:rPr>
              <w:t>8,2</w:t>
            </w:r>
            <w:r w:rsidR="00B434C6" w:rsidRPr="003B1CAC">
              <w:rPr>
                <w:rFonts w:ascii="Verdana" w:hAnsi="Verdana" w:cs="Tahoma"/>
                <w:sz w:val="18"/>
                <w:szCs w:val="18"/>
                <w:vertAlign w:val="superscript"/>
                <w:lang w:val="nl-BE" w:bidi="en-US"/>
              </w:rPr>
              <w:t>]</w:t>
            </w:r>
            <w:r w:rsidR="0003217D" w:rsidRPr="003B1CAC">
              <w:rPr>
                <w:rFonts w:ascii="Verdana" w:hAnsi="Verdana" w:cs="Tahoma"/>
                <w:sz w:val="18"/>
                <w:szCs w:val="18"/>
                <w:lang w:val="nl-BE" w:bidi="en-US"/>
              </w:rPr>
              <w:t>, constipatie</w:t>
            </w:r>
            <w:r w:rsidR="00B434C6" w:rsidRPr="003B1CAC">
              <w:rPr>
                <w:rFonts w:ascii="Verdana" w:hAnsi="Verdana" w:cs="Tahoma"/>
                <w:sz w:val="18"/>
                <w:szCs w:val="18"/>
                <w:vertAlign w:val="superscript"/>
                <w:lang w:val="nl-BE" w:bidi="en-US"/>
              </w:rPr>
              <w:t>[</w:t>
            </w:r>
            <w:r w:rsidR="00006700" w:rsidRPr="003B1CAC">
              <w:rPr>
                <w:rFonts w:ascii="Verdana" w:hAnsi="Verdana" w:cs="Tahoma"/>
                <w:sz w:val="18"/>
                <w:szCs w:val="18"/>
                <w:vertAlign w:val="superscript"/>
                <w:lang w:val="nl-BE" w:bidi="en-US"/>
              </w:rPr>
              <w:t>8,2</w:t>
            </w:r>
            <w:r w:rsidR="00B434C6" w:rsidRPr="003B1CAC">
              <w:rPr>
                <w:rFonts w:ascii="Verdana" w:hAnsi="Verdana" w:cs="Tahoma"/>
                <w:sz w:val="18"/>
                <w:szCs w:val="18"/>
                <w:vertAlign w:val="superscript"/>
                <w:lang w:val="nl-BE" w:bidi="en-US"/>
              </w:rPr>
              <w:t>]</w:t>
            </w:r>
          </w:p>
        </w:tc>
        <w:tc>
          <w:tcPr>
            <w:tcW w:w="0" w:type="auto"/>
          </w:tcPr>
          <w:p w14:paraId="5B0D5300"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p>
        </w:tc>
        <w:tc>
          <w:tcPr>
            <w:tcW w:w="0" w:type="auto"/>
          </w:tcPr>
          <w:p w14:paraId="293611D9"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p>
        </w:tc>
      </w:tr>
      <w:tr w:rsidR="00904E73" w:rsidRPr="003B1CAC" w14:paraId="79E1304D" w14:textId="77777777" w:rsidTr="00A17FB0">
        <w:tc>
          <w:tcPr>
            <w:tcW w:w="0" w:type="auto"/>
          </w:tcPr>
          <w:p w14:paraId="2BB2D5DD"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rPr>
              <w:t>Lever- en galaandoeningen</w:t>
            </w:r>
          </w:p>
        </w:tc>
        <w:tc>
          <w:tcPr>
            <w:tcW w:w="0" w:type="auto"/>
          </w:tcPr>
          <w:p w14:paraId="06C355D5" w14:textId="00E38CAC"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gestoorde leverfunctie</w:t>
            </w:r>
            <w:r w:rsidR="00B434C6" w:rsidRPr="003B1CAC">
              <w:rPr>
                <w:rFonts w:ascii="Verdana" w:hAnsi="Verdana" w:cs="Tahoma"/>
                <w:sz w:val="18"/>
                <w:szCs w:val="18"/>
                <w:vertAlign w:val="superscript"/>
                <w:lang w:val="nl-BE" w:bidi="en-US"/>
              </w:rPr>
              <w:t>[</w:t>
            </w:r>
            <w:r w:rsidR="00960C28" w:rsidRPr="003B1CAC">
              <w:rPr>
                <w:rFonts w:ascii="Verdana" w:hAnsi="Verdana" w:cs="Tahoma"/>
                <w:sz w:val="18"/>
                <w:szCs w:val="18"/>
                <w:vertAlign w:val="superscript"/>
                <w:lang w:val="nl-BE" w:bidi="en-US"/>
              </w:rPr>
              <w:t>8,2</w:t>
            </w:r>
            <w:r w:rsidR="00B434C6" w:rsidRPr="003B1CAC">
              <w:rPr>
                <w:rFonts w:ascii="Verdana" w:hAnsi="Verdana" w:cs="Tahoma"/>
                <w:sz w:val="18"/>
                <w:szCs w:val="18"/>
                <w:vertAlign w:val="superscript"/>
                <w:lang w:val="nl-BE" w:bidi="en-US"/>
              </w:rPr>
              <w:t>]</w:t>
            </w:r>
            <w:r w:rsidRPr="003B1CAC">
              <w:rPr>
                <w:rFonts w:ascii="Verdana" w:hAnsi="Verdana" w:cs="Tahoma"/>
                <w:sz w:val="18"/>
                <w:szCs w:val="18"/>
                <w:lang w:val="nl-BE" w:bidi="en-US"/>
              </w:rPr>
              <w:t>, leverfalen</w:t>
            </w:r>
            <w:r w:rsidR="00B434C6" w:rsidRPr="003B1CAC">
              <w:rPr>
                <w:rFonts w:ascii="Verdana" w:hAnsi="Verdana" w:cs="Tahoma"/>
                <w:sz w:val="18"/>
                <w:szCs w:val="18"/>
                <w:vertAlign w:val="superscript"/>
                <w:lang w:val="nl-BE" w:bidi="en-US"/>
              </w:rPr>
              <w:t>[</w:t>
            </w:r>
            <w:r w:rsidR="00960C28" w:rsidRPr="003B1CAC">
              <w:rPr>
                <w:rFonts w:ascii="Verdana" w:hAnsi="Verdana" w:cs="Tahoma"/>
                <w:sz w:val="18"/>
                <w:szCs w:val="18"/>
                <w:vertAlign w:val="superscript"/>
                <w:lang w:val="nl-BE" w:bidi="en-US"/>
              </w:rPr>
              <w:t>8,2</w:t>
            </w:r>
            <w:r w:rsidR="00B434C6" w:rsidRPr="003B1CAC">
              <w:rPr>
                <w:rFonts w:ascii="Verdana" w:hAnsi="Verdana" w:cs="Tahoma"/>
                <w:sz w:val="18"/>
                <w:szCs w:val="18"/>
                <w:vertAlign w:val="superscript"/>
                <w:lang w:val="nl-BE" w:bidi="en-US"/>
              </w:rPr>
              <w:t>]</w:t>
            </w:r>
            <w:r w:rsidRPr="003B1CAC">
              <w:rPr>
                <w:rFonts w:ascii="Verdana" w:hAnsi="Verdana" w:cs="Tahoma"/>
                <w:sz w:val="18"/>
                <w:szCs w:val="18"/>
                <w:lang w:val="nl-BE" w:bidi="en-US"/>
              </w:rPr>
              <w:t xml:space="preserve">, </w:t>
            </w:r>
            <w:r w:rsidR="00314DD4" w:rsidRPr="003B1CAC">
              <w:rPr>
                <w:rFonts w:ascii="Verdana" w:hAnsi="Verdana" w:cs="Tahoma"/>
                <w:sz w:val="18"/>
                <w:szCs w:val="18"/>
                <w:lang w:val="nl-BE" w:bidi="en-US"/>
              </w:rPr>
              <w:t>l</w:t>
            </w:r>
            <w:r w:rsidRPr="003B1CAC">
              <w:rPr>
                <w:rFonts w:ascii="Verdana" w:hAnsi="Verdana" w:cs="Tahoma"/>
                <w:sz w:val="18"/>
                <w:szCs w:val="18"/>
                <w:lang w:val="nl-BE" w:bidi="en-US"/>
              </w:rPr>
              <w:t>evernecrose</w:t>
            </w:r>
            <w:r w:rsidR="00B434C6" w:rsidRPr="003B1CAC">
              <w:rPr>
                <w:rFonts w:ascii="Verdana" w:hAnsi="Verdana" w:cs="Tahoma"/>
                <w:sz w:val="18"/>
                <w:szCs w:val="18"/>
                <w:vertAlign w:val="superscript"/>
                <w:lang w:val="nl-BE" w:bidi="en-US"/>
              </w:rPr>
              <w:t>[</w:t>
            </w:r>
            <w:r w:rsidR="00960C28" w:rsidRPr="003B1CAC">
              <w:rPr>
                <w:rFonts w:ascii="Verdana" w:hAnsi="Verdana" w:cs="Tahoma"/>
                <w:sz w:val="18"/>
                <w:szCs w:val="18"/>
                <w:vertAlign w:val="superscript"/>
                <w:lang w:val="nl-BE" w:bidi="en-US"/>
              </w:rPr>
              <w:t>8,2</w:t>
            </w:r>
            <w:r w:rsidR="00B434C6" w:rsidRPr="003B1CAC">
              <w:rPr>
                <w:rFonts w:ascii="Verdana" w:hAnsi="Verdana" w:cs="Tahoma"/>
                <w:sz w:val="18"/>
                <w:szCs w:val="18"/>
                <w:vertAlign w:val="superscript"/>
                <w:lang w:val="nl-BE" w:bidi="en-US"/>
              </w:rPr>
              <w:t>]</w:t>
            </w:r>
            <w:r w:rsidRPr="003B1CAC">
              <w:rPr>
                <w:rFonts w:ascii="Verdana" w:hAnsi="Verdana" w:cs="Tahoma"/>
                <w:sz w:val="18"/>
                <w:szCs w:val="18"/>
                <w:lang w:val="nl-BE" w:bidi="en-US"/>
              </w:rPr>
              <w:t>, icterus</w:t>
            </w:r>
            <w:r w:rsidR="00B434C6" w:rsidRPr="003B1CAC">
              <w:rPr>
                <w:rFonts w:ascii="Verdana" w:hAnsi="Verdana" w:cs="Tahoma"/>
                <w:sz w:val="18"/>
                <w:szCs w:val="18"/>
                <w:vertAlign w:val="superscript"/>
                <w:lang w:val="nl-BE" w:bidi="en-US"/>
              </w:rPr>
              <w:t>[</w:t>
            </w:r>
            <w:r w:rsidR="00960C28" w:rsidRPr="003B1CAC">
              <w:rPr>
                <w:rFonts w:ascii="Verdana" w:hAnsi="Verdana" w:cs="Tahoma"/>
                <w:sz w:val="18"/>
                <w:szCs w:val="18"/>
                <w:vertAlign w:val="superscript"/>
                <w:lang w:val="nl-BE" w:bidi="en-US"/>
              </w:rPr>
              <w:t>8,2</w:t>
            </w:r>
            <w:r w:rsidR="00B434C6" w:rsidRPr="003B1CAC">
              <w:rPr>
                <w:rFonts w:ascii="Verdana" w:hAnsi="Verdana" w:cs="Tahoma"/>
                <w:sz w:val="18"/>
                <w:szCs w:val="18"/>
                <w:vertAlign w:val="superscript"/>
                <w:lang w:val="nl-BE" w:bidi="en-US"/>
              </w:rPr>
              <w:t>]</w:t>
            </w:r>
          </w:p>
        </w:tc>
        <w:tc>
          <w:tcPr>
            <w:tcW w:w="0" w:type="auto"/>
          </w:tcPr>
          <w:p w14:paraId="0EC077FE" w14:textId="2784253B" w:rsidR="00904E73" w:rsidRPr="003B1CAC" w:rsidRDefault="00904E73" w:rsidP="002B30E8">
            <w:pPr>
              <w:widowControl w:val="0"/>
              <w:autoSpaceDE w:val="0"/>
              <w:autoSpaceDN w:val="0"/>
              <w:adjustRightInd w:val="0"/>
              <w:rPr>
                <w:rFonts w:ascii="Verdana" w:hAnsi="Verdana" w:cs="Tahoma"/>
                <w:sz w:val="18"/>
                <w:szCs w:val="18"/>
                <w:lang w:val="nl-BE" w:bidi="en-US"/>
              </w:rPr>
            </w:pPr>
            <w:proofErr w:type="spellStart"/>
            <w:r w:rsidRPr="003B1CAC">
              <w:rPr>
                <w:rFonts w:ascii="Verdana" w:hAnsi="Verdana" w:cs="Tahoma"/>
                <w:sz w:val="18"/>
                <w:szCs w:val="18"/>
                <w:lang w:val="nl-BE" w:bidi="en-US"/>
              </w:rPr>
              <w:t>hepatotoxiciteit</w:t>
            </w:r>
            <w:proofErr w:type="spellEnd"/>
            <w:r w:rsidR="003766E5" w:rsidRPr="003B1CAC">
              <w:rPr>
                <w:rFonts w:ascii="Verdana" w:hAnsi="Verdana" w:cs="Arial"/>
                <w:sz w:val="18"/>
                <w:szCs w:val="18"/>
                <w:vertAlign w:val="superscript"/>
                <w:lang w:val="nl-BE"/>
              </w:rPr>
              <w:t>[</w:t>
            </w:r>
            <w:r w:rsidR="00960C28" w:rsidRPr="003B1CAC">
              <w:rPr>
                <w:rFonts w:ascii="Verdana" w:hAnsi="Verdana" w:cs="Tahoma"/>
                <w:sz w:val="18"/>
                <w:szCs w:val="18"/>
                <w:vertAlign w:val="superscript"/>
                <w:lang w:val="nl-BE" w:bidi="en-US"/>
              </w:rPr>
              <w:t>8,2</w:t>
            </w:r>
            <w:r w:rsidR="003766E5" w:rsidRPr="003B1CAC">
              <w:rPr>
                <w:rFonts w:ascii="Verdana" w:hAnsi="Verdana" w:cs="Arial"/>
                <w:sz w:val="18"/>
                <w:szCs w:val="18"/>
                <w:vertAlign w:val="superscript"/>
                <w:lang w:val="nl-BE"/>
              </w:rPr>
              <w:t>]</w:t>
            </w:r>
          </w:p>
        </w:tc>
        <w:tc>
          <w:tcPr>
            <w:tcW w:w="0" w:type="auto"/>
          </w:tcPr>
          <w:p w14:paraId="08C7F3D0" w14:textId="30672AF5"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hepatitis</w:t>
            </w:r>
            <w:r w:rsidR="003766E5" w:rsidRPr="003B1CAC">
              <w:rPr>
                <w:rFonts w:ascii="Verdana" w:hAnsi="Verdana" w:cs="Arial"/>
                <w:sz w:val="18"/>
                <w:szCs w:val="18"/>
                <w:vertAlign w:val="superscript"/>
                <w:lang w:val="nl-BE"/>
              </w:rPr>
              <w:t>[</w:t>
            </w:r>
            <w:r w:rsidR="00960C28" w:rsidRPr="003B1CAC">
              <w:rPr>
                <w:rFonts w:ascii="Verdana" w:hAnsi="Verdana" w:cs="Tahoma"/>
                <w:sz w:val="18"/>
                <w:szCs w:val="18"/>
                <w:vertAlign w:val="superscript"/>
                <w:lang w:val="nl-BE" w:bidi="en-US"/>
              </w:rPr>
              <w:t>8,2</w:t>
            </w:r>
            <w:r w:rsidR="003766E5" w:rsidRPr="003B1CAC">
              <w:rPr>
                <w:rFonts w:ascii="Verdana" w:hAnsi="Verdana" w:cs="Arial"/>
                <w:sz w:val="18"/>
                <w:szCs w:val="18"/>
                <w:vertAlign w:val="superscript"/>
                <w:lang w:val="nl-BE"/>
              </w:rPr>
              <w:t>]</w:t>
            </w:r>
          </w:p>
        </w:tc>
      </w:tr>
      <w:tr w:rsidR="00904E73" w:rsidRPr="003B1CAC" w14:paraId="318DA2A6" w14:textId="77777777" w:rsidTr="00A17FB0">
        <w:tc>
          <w:tcPr>
            <w:tcW w:w="0" w:type="auto"/>
          </w:tcPr>
          <w:p w14:paraId="4F06ED96" w14:textId="654F5578"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rPr>
              <w:t>Huid- en onderhuidaandoeningen</w:t>
            </w:r>
          </w:p>
        </w:tc>
        <w:tc>
          <w:tcPr>
            <w:tcW w:w="0" w:type="auto"/>
          </w:tcPr>
          <w:p w14:paraId="57D577D2" w14:textId="313E501D"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pruritus</w:t>
            </w:r>
            <w:r w:rsidR="00B434C6" w:rsidRPr="003B1CAC">
              <w:rPr>
                <w:rFonts w:ascii="Verdana" w:hAnsi="Verdana" w:cs="Tahoma"/>
                <w:sz w:val="18"/>
                <w:szCs w:val="18"/>
                <w:vertAlign w:val="superscript"/>
                <w:lang w:val="nl-BE" w:bidi="en-US"/>
              </w:rPr>
              <w:t>[</w:t>
            </w:r>
            <w:r w:rsidR="00BA007B" w:rsidRPr="003B1CAC">
              <w:rPr>
                <w:rFonts w:ascii="Verdana" w:hAnsi="Verdana" w:cs="Tahoma"/>
                <w:sz w:val="18"/>
                <w:szCs w:val="18"/>
                <w:vertAlign w:val="superscript"/>
                <w:lang w:val="nl-BE" w:bidi="en-US"/>
              </w:rPr>
              <w:t>8</w:t>
            </w:r>
            <w:r w:rsidR="008A025B" w:rsidRPr="003B1CAC">
              <w:rPr>
                <w:rFonts w:ascii="Verdana" w:hAnsi="Verdana" w:cs="Tahoma"/>
                <w:sz w:val="18"/>
                <w:szCs w:val="18"/>
                <w:vertAlign w:val="superscript"/>
                <w:lang w:val="nl-BE" w:bidi="en-US"/>
              </w:rPr>
              <w:t>,2</w:t>
            </w:r>
            <w:r w:rsidR="00B434C6" w:rsidRPr="003B1CAC">
              <w:rPr>
                <w:rFonts w:ascii="Verdana" w:hAnsi="Verdana" w:cs="Tahoma"/>
                <w:sz w:val="18"/>
                <w:szCs w:val="18"/>
                <w:vertAlign w:val="superscript"/>
                <w:lang w:val="nl-BE" w:bidi="en-US"/>
              </w:rPr>
              <w:t>]</w:t>
            </w:r>
            <w:r w:rsidRPr="003B1CAC">
              <w:rPr>
                <w:rFonts w:ascii="Verdana" w:hAnsi="Verdana" w:cs="Tahoma"/>
                <w:sz w:val="18"/>
                <w:szCs w:val="18"/>
                <w:lang w:val="nl-BE" w:bidi="en-US"/>
              </w:rPr>
              <w:t xml:space="preserve">, </w:t>
            </w:r>
            <w:proofErr w:type="spellStart"/>
            <w:r w:rsidRPr="003B1CAC">
              <w:rPr>
                <w:rFonts w:ascii="Verdana" w:hAnsi="Verdana" w:cs="Tahoma"/>
                <w:sz w:val="18"/>
                <w:szCs w:val="18"/>
                <w:lang w:val="nl-BE" w:bidi="en-US"/>
              </w:rPr>
              <w:t>rash</w:t>
            </w:r>
            <w:proofErr w:type="spellEnd"/>
            <w:r w:rsidR="00B434C6" w:rsidRPr="003B1CAC">
              <w:rPr>
                <w:rFonts w:ascii="Verdana" w:hAnsi="Verdana" w:cs="Tahoma"/>
                <w:sz w:val="18"/>
                <w:szCs w:val="18"/>
                <w:vertAlign w:val="superscript"/>
                <w:lang w:val="nl-BE" w:bidi="en-US"/>
              </w:rPr>
              <w:t>[</w:t>
            </w:r>
            <w:r w:rsidR="00BA007B" w:rsidRPr="003B1CAC">
              <w:rPr>
                <w:rFonts w:ascii="Verdana" w:hAnsi="Verdana" w:cs="Tahoma"/>
                <w:sz w:val="18"/>
                <w:szCs w:val="18"/>
                <w:vertAlign w:val="superscript"/>
                <w:lang w:val="nl-BE" w:bidi="en-US"/>
              </w:rPr>
              <w:t>1,2</w:t>
            </w:r>
            <w:r w:rsidR="00B434C6" w:rsidRPr="003B1CAC">
              <w:rPr>
                <w:rFonts w:ascii="Verdana" w:hAnsi="Verdana" w:cs="Tahoma"/>
                <w:sz w:val="18"/>
                <w:szCs w:val="18"/>
                <w:vertAlign w:val="superscript"/>
                <w:lang w:val="nl-BE" w:bidi="en-US"/>
              </w:rPr>
              <w:t>]</w:t>
            </w:r>
            <w:r w:rsidRPr="003B1CAC">
              <w:rPr>
                <w:rFonts w:ascii="Verdana" w:hAnsi="Verdana" w:cs="Tahoma"/>
                <w:sz w:val="18"/>
                <w:szCs w:val="18"/>
                <w:lang w:val="nl-BE" w:bidi="en-US"/>
              </w:rPr>
              <w:t>, zweten</w:t>
            </w:r>
            <w:r w:rsidR="00B434C6" w:rsidRPr="003B1CAC">
              <w:rPr>
                <w:rFonts w:ascii="Verdana" w:hAnsi="Verdana" w:cs="Tahoma"/>
                <w:sz w:val="18"/>
                <w:szCs w:val="18"/>
                <w:vertAlign w:val="superscript"/>
                <w:lang w:val="nl-BE" w:bidi="en-US"/>
              </w:rPr>
              <w:t>[</w:t>
            </w:r>
            <w:r w:rsidR="008A025B" w:rsidRPr="003B1CAC">
              <w:rPr>
                <w:rFonts w:ascii="Verdana" w:hAnsi="Verdana" w:cs="Tahoma"/>
                <w:sz w:val="18"/>
                <w:szCs w:val="18"/>
                <w:vertAlign w:val="superscript"/>
                <w:lang w:val="nl-BE" w:bidi="en-US"/>
              </w:rPr>
              <w:t>1,2</w:t>
            </w:r>
            <w:r w:rsidR="00B434C6" w:rsidRPr="003B1CAC">
              <w:rPr>
                <w:rFonts w:ascii="Verdana" w:hAnsi="Verdana" w:cs="Tahoma"/>
                <w:sz w:val="18"/>
                <w:szCs w:val="18"/>
                <w:vertAlign w:val="superscript"/>
                <w:lang w:val="nl-BE" w:bidi="en-US"/>
              </w:rPr>
              <w:t>]</w:t>
            </w:r>
            <w:r w:rsidRPr="003B1CAC">
              <w:rPr>
                <w:rFonts w:ascii="Verdana" w:hAnsi="Verdana" w:cs="Tahoma"/>
                <w:sz w:val="18"/>
                <w:szCs w:val="18"/>
                <w:lang w:val="nl-BE" w:bidi="en-US"/>
              </w:rPr>
              <w:t>, angio-oedeem</w:t>
            </w:r>
            <w:r w:rsidR="00B434C6" w:rsidRPr="003B1CAC">
              <w:rPr>
                <w:rFonts w:ascii="Verdana" w:hAnsi="Verdana" w:cs="Tahoma"/>
                <w:sz w:val="18"/>
                <w:szCs w:val="18"/>
                <w:vertAlign w:val="superscript"/>
                <w:lang w:val="nl-BE" w:bidi="en-US"/>
              </w:rPr>
              <w:t>[</w:t>
            </w:r>
            <w:r w:rsidR="005F7CE1" w:rsidRPr="003B1CAC">
              <w:rPr>
                <w:rFonts w:ascii="Verdana" w:hAnsi="Verdana" w:cs="Tahoma"/>
                <w:sz w:val="18"/>
                <w:szCs w:val="18"/>
                <w:vertAlign w:val="superscript"/>
                <w:lang w:val="nl-BE" w:bidi="en-US"/>
              </w:rPr>
              <w:t>1,2</w:t>
            </w:r>
            <w:r w:rsidR="00B434C6" w:rsidRPr="003B1CAC">
              <w:rPr>
                <w:rFonts w:ascii="Verdana" w:hAnsi="Verdana" w:cs="Tahoma"/>
                <w:sz w:val="18"/>
                <w:szCs w:val="18"/>
                <w:vertAlign w:val="superscript"/>
                <w:lang w:val="nl-BE" w:bidi="en-US"/>
              </w:rPr>
              <w:t>]</w:t>
            </w:r>
            <w:r w:rsidRPr="003B1CAC">
              <w:rPr>
                <w:rFonts w:ascii="Verdana" w:hAnsi="Verdana" w:cs="Tahoma"/>
                <w:sz w:val="18"/>
                <w:szCs w:val="18"/>
                <w:lang w:val="nl-BE" w:bidi="en-US"/>
              </w:rPr>
              <w:t>, urticaria</w:t>
            </w:r>
            <w:r w:rsidR="00B434C6" w:rsidRPr="003B1CAC">
              <w:rPr>
                <w:rFonts w:ascii="Verdana" w:hAnsi="Verdana" w:cs="Tahoma"/>
                <w:sz w:val="18"/>
                <w:szCs w:val="18"/>
                <w:vertAlign w:val="superscript"/>
                <w:lang w:val="nl-BE" w:bidi="en-US"/>
              </w:rPr>
              <w:t>[</w:t>
            </w:r>
            <w:r w:rsidR="005F7CE1" w:rsidRPr="003B1CAC">
              <w:rPr>
                <w:rFonts w:ascii="Verdana" w:hAnsi="Verdana" w:cs="Tahoma"/>
                <w:sz w:val="18"/>
                <w:szCs w:val="18"/>
                <w:vertAlign w:val="superscript"/>
                <w:lang w:val="nl-BE" w:bidi="en-US"/>
              </w:rPr>
              <w:t>1,2</w:t>
            </w:r>
            <w:r w:rsidR="00B434C6" w:rsidRPr="003B1CAC">
              <w:rPr>
                <w:rFonts w:ascii="Verdana" w:hAnsi="Verdana" w:cs="Tahoma"/>
                <w:sz w:val="18"/>
                <w:szCs w:val="18"/>
                <w:vertAlign w:val="superscript"/>
                <w:lang w:val="nl-BE" w:bidi="en-US"/>
              </w:rPr>
              <w:t>]</w:t>
            </w:r>
          </w:p>
        </w:tc>
        <w:tc>
          <w:tcPr>
            <w:tcW w:w="0" w:type="auto"/>
          </w:tcPr>
          <w:p w14:paraId="33629572" w14:textId="2F8EBB01" w:rsidR="00904E73" w:rsidRPr="003B1CAC" w:rsidRDefault="00AC1009"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z</w:t>
            </w:r>
            <w:r w:rsidR="005E00A6" w:rsidRPr="003B1CAC">
              <w:rPr>
                <w:rFonts w:ascii="Verdana" w:hAnsi="Verdana" w:cs="Tahoma"/>
                <w:sz w:val="18"/>
                <w:szCs w:val="18"/>
                <w:lang w:val="nl-BE" w:bidi="en-US"/>
              </w:rPr>
              <w:t>eer zeldzame gevallen van ernstige huidreacties werden gemeld</w:t>
            </w:r>
            <w:r w:rsidR="003766E5" w:rsidRPr="003B1CAC">
              <w:rPr>
                <w:rFonts w:ascii="Verdana" w:hAnsi="Verdana" w:cs="Arial"/>
                <w:sz w:val="18"/>
                <w:szCs w:val="18"/>
                <w:vertAlign w:val="superscript"/>
                <w:lang w:val="nl-BE"/>
              </w:rPr>
              <w:t>[</w:t>
            </w:r>
            <w:r w:rsidR="005E00A6" w:rsidRPr="003B1CAC">
              <w:rPr>
                <w:rFonts w:ascii="Verdana" w:hAnsi="Verdana" w:cs="Tahoma"/>
                <w:sz w:val="18"/>
                <w:szCs w:val="18"/>
                <w:vertAlign w:val="superscript"/>
                <w:lang w:val="nl-BE" w:bidi="en-US"/>
              </w:rPr>
              <w:t>10</w:t>
            </w:r>
            <w:r w:rsidR="003766E5" w:rsidRPr="003B1CAC">
              <w:rPr>
                <w:rFonts w:ascii="Verdana" w:hAnsi="Verdana" w:cs="Arial"/>
                <w:sz w:val="18"/>
                <w:szCs w:val="18"/>
                <w:vertAlign w:val="superscript"/>
                <w:lang w:val="nl-BE"/>
              </w:rPr>
              <w:t>]</w:t>
            </w:r>
          </w:p>
        </w:tc>
        <w:tc>
          <w:tcPr>
            <w:tcW w:w="0" w:type="auto"/>
          </w:tcPr>
          <w:p w14:paraId="680C0E4E" w14:textId="77777777" w:rsidR="00A91655" w:rsidRPr="003B1CAC" w:rsidRDefault="00A91655" w:rsidP="002B30E8">
            <w:pPr>
              <w:widowControl w:val="0"/>
              <w:autoSpaceDE w:val="0"/>
              <w:autoSpaceDN w:val="0"/>
              <w:adjustRightInd w:val="0"/>
              <w:rPr>
                <w:rFonts w:ascii="Verdana" w:hAnsi="Verdana" w:cs="Tahoma"/>
                <w:strike/>
                <w:sz w:val="18"/>
                <w:szCs w:val="18"/>
                <w:lang w:val="nl-BE" w:bidi="en-US"/>
              </w:rPr>
            </w:pPr>
          </w:p>
        </w:tc>
      </w:tr>
      <w:tr w:rsidR="00904E73" w:rsidRPr="003B1CAC" w14:paraId="18008D5D" w14:textId="77777777" w:rsidTr="00A17FB0">
        <w:tc>
          <w:tcPr>
            <w:tcW w:w="0" w:type="auto"/>
          </w:tcPr>
          <w:p w14:paraId="21A58BC1" w14:textId="77777777" w:rsidR="00904E73" w:rsidRPr="003B1CAC" w:rsidRDefault="00904E73" w:rsidP="002B30E8">
            <w:pPr>
              <w:tabs>
                <w:tab w:val="left" w:pos="2977"/>
                <w:tab w:val="left" w:pos="3402"/>
                <w:tab w:val="left" w:pos="3969"/>
              </w:tabs>
              <w:rPr>
                <w:rFonts w:ascii="Verdana" w:hAnsi="Verdana" w:cs="Tahoma"/>
                <w:sz w:val="18"/>
                <w:szCs w:val="18"/>
                <w:lang w:val="nl-BE"/>
              </w:rPr>
            </w:pPr>
            <w:r w:rsidRPr="003B1CAC">
              <w:rPr>
                <w:rFonts w:ascii="Verdana" w:hAnsi="Verdana" w:cs="Tahoma"/>
                <w:sz w:val="18"/>
                <w:szCs w:val="18"/>
                <w:lang w:val="nl-BE"/>
              </w:rPr>
              <w:t>Nier- en urineweg</w:t>
            </w:r>
            <w:r w:rsidR="008E4403" w:rsidRPr="003B1CAC">
              <w:rPr>
                <w:rFonts w:ascii="Verdana" w:hAnsi="Verdana" w:cs="Tahoma"/>
                <w:sz w:val="18"/>
                <w:szCs w:val="18"/>
                <w:lang w:val="nl-BE"/>
              </w:rPr>
              <w:t>-</w:t>
            </w:r>
            <w:r w:rsidRPr="003B1CAC">
              <w:rPr>
                <w:rFonts w:ascii="Verdana" w:hAnsi="Verdana" w:cs="Tahoma"/>
                <w:sz w:val="18"/>
                <w:szCs w:val="18"/>
                <w:lang w:val="nl-BE"/>
              </w:rPr>
              <w:t>aandoeningen</w:t>
            </w:r>
          </w:p>
        </w:tc>
        <w:tc>
          <w:tcPr>
            <w:tcW w:w="0" w:type="auto"/>
          </w:tcPr>
          <w:p w14:paraId="66EF2F98"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p>
        </w:tc>
        <w:tc>
          <w:tcPr>
            <w:tcW w:w="0" w:type="auto"/>
          </w:tcPr>
          <w:p w14:paraId="5FDEEA94" w14:textId="3E9425E7" w:rsidR="00CD4C8A" w:rsidRPr="003B1CAC" w:rsidRDefault="00314DD4" w:rsidP="00E06978">
            <w:pPr>
              <w:widowControl w:val="0"/>
              <w:autoSpaceDE w:val="0"/>
              <w:autoSpaceDN w:val="0"/>
              <w:adjustRightInd w:val="0"/>
              <w:rPr>
                <w:rFonts w:ascii="Verdana" w:hAnsi="Verdana" w:cs="Tahoma"/>
                <w:strike/>
                <w:sz w:val="18"/>
                <w:szCs w:val="18"/>
                <w:lang w:val="nl-BE" w:bidi="en-US"/>
              </w:rPr>
            </w:pPr>
            <w:r w:rsidRPr="003B1CAC">
              <w:rPr>
                <w:rFonts w:ascii="Verdana" w:hAnsi="Verdana" w:cs="Tahoma"/>
                <w:sz w:val="18"/>
                <w:szCs w:val="18"/>
                <w:lang w:val="nl-BE" w:bidi="en-US"/>
              </w:rPr>
              <w:t>s</w:t>
            </w:r>
            <w:r w:rsidR="00904E73" w:rsidRPr="003B1CAC">
              <w:rPr>
                <w:rFonts w:ascii="Verdana" w:hAnsi="Verdana" w:cs="Tahoma"/>
                <w:sz w:val="18"/>
                <w:szCs w:val="18"/>
                <w:lang w:val="nl-BE" w:bidi="en-US"/>
              </w:rPr>
              <w:t xml:space="preserve">teriele </w:t>
            </w:r>
            <w:proofErr w:type="spellStart"/>
            <w:r w:rsidR="00904E73" w:rsidRPr="003B1CAC">
              <w:rPr>
                <w:rFonts w:ascii="Verdana" w:hAnsi="Verdana" w:cs="Tahoma"/>
                <w:sz w:val="18"/>
                <w:szCs w:val="18"/>
                <w:lang w:val="nl-BE" w:bidi="en-US"/>
              </w:rPr>
              <w:t>pyurie</w:t>
            </w:r>
            <w:proofErr w:type="spellEnd"/>
            <w:r w:rsidR="00904E73" w:rsidRPr="003B1CAC">
              <w:rPr>
                <w:rFonts w:ascii="Verdana" w:hAnsi="Verdana" w:cs="Tahoma"/>
                <w:sz w:val="18"/>
                <w:szCs w:val="18"/>
                <w:lang w:val="nl-BE" w:bidi="en-US"/>
              </w:rPr>
              <w:t xml:space="preserve"> (</w:t>
            </w:r>
            <w:r w:rsidRPr="003B1CAC">
              <w:rPr>
                <w:rFonts w:ascii="Verdana" w:hAnsi="Verdana" w:cs="Tahoma"/>
                <w:sz w:val="18"/>
                <w:szCs w:val="18"/>
                <w:lang w:val="nl-BE" w:bidi="en-US"/>
              </w:rPr>
              <w:t>troebele</w:t>
            </w:r>
            <w:r w:rsidR="00904E73" w:rsidRPr="003B1CAC">
              <w:rPr>
                <w:rFonts w:ascii="Verdana" w:hAnsi="Verdana" w:cs="Tahoma"/>
                <w:sz w:val="18"/>
                <w:szCs w:val="18"/>
                <w:lang w:val="nl-BE" w:bidi="en-US"/>
              </w:rPr>
              <w:t xml:space="preserve"> urine)</w:t>
            </w:r>
            <w:r w:rsidR="003766E5" w:rsidRPr="003B1CAC">
              <w:rPr>
                <w:rFonts w:ascii="Verdana" w:hAnsi="Verdana" w:cs="Arial"/>
                <w:sz w:val="18"/>
                <w:szCs w:val="18"/>
                <w:vertAlign w:val="superscript"/>
                <w:lang w:val="nl-BE"/>
              </w:rPr>
              <w:t>[</w:t>
            </w:r>
            <w:r w:rsidR="00A843E2" w:rsidRPr="003B1CAC">
              <w:rPr>
                <w:rFonts w:ascii="Verdana" w:hAnsi="Verdana" w:cs="Tahoma"/>
                <w:sz w:val="18"/>
                <w:szCs w:val="18"/>
                <w:vertAlign w:val="superscript"/>
                <w:lang w:val="nl-BE" w:bidi="en-US"/>
              </w:rPr>
              <w:t>2</w:t>
            </w:r>
            <w:r w:rsidR="003766E5" w:rsidRPr="003B1CAC">
              <w:rPr>
                <w:rFonts w:ascii="Verdana" w:hAnsi="Verdana" w:cs="Arial"/>
                <w:sz w:val="18"/>
                <w:szCs w:val="18"/>
                <w:vertAlign w:val="superscript"/>
                <w:lang w:val="nl-BE"/>
              </w:rPr>
              <w:t>]</w:t>
            </w:r>
          </w:p>
        </w:tc>
        <w:tc>
          <w:tcPr>
            <w:tcW w:w="0" w:type="auto"/>
          </w:tcPr>
          <w:p w14:paraId="05DA0D35" w14:textId="77777777" w:rsidR="001508EF" w:rsidRPr="003B1CAC" w:rsidRDefault="001508EF" w:rsidP="002B30E8">
            <w:pPr>
              <w:widowControl w:val="0"/>
              <w:autoSpaceDE w:val="0"/>
              <w:autoSpaceDN w:val="0"/>
              <w:adjustRightInd w:val="0"/>
              <w:rPr>
                <w:rFonts w:ascii="Verdana" w:hAnsi="Verdana" w:cs="Tahoma"/>
                <w:sz w:val="18"/>
                <w:szCs w:val="18"/>
                <w:lang w:val="nl-BE" w:bidi="en-US"/>
              </w:rPr>
            </w:pPr>
            <w:proofErr w:type="spellStart"/>
            <w:r w:rsidRPr="003B1CAC">
              <w:rPr>
                <w:rFonts w:ascii="Verdana" w:hAnsi="Verdana" w:cs="Tahoma"/>
                <w:sz w:val="18"/>
                <w:szCs w:val="18"/>
                <w:lang w:val="nl-BE" w:bidi="en-US"/>
              </w:rPr>
              <w:t>nefropathieën</w:t>
            </w:r>
            <w:proofErr w:type="spellEnd"/>
            <w:r w:rsidRPr="003B1CAC">
              <w:rPr>
                <w:rFonts w:ascii="Verdana" w:hAnsi="Verdana" w:cs="Tahoma"/>
                <w:sz w:val="18"/>
                <w:szCs w:val="18"/>
                <w:lang w:val="nl-BE" w:bidi="en-US"/>
              </w:rPr>
              <w:t xml:space="preserve"> (interstitiële nefritis, tubulaire</w:t>
            </w:r>
          </w:p>
          <w:p w14:paraId="19394AC7" w14:textId="77777777" w:rsidR="001508EF" w:rsidRPr="003B1CAC" w:rsidRDefault="001508EF"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necrose) na langdurig</w:t>
            </w:r>
          </w:p>
          <w:p w14:paraId="45F66153" w14:textId="00E7C223" w:rsidR="001508EF" w:rsidRPr="003B1CAC" w:rsidRDefault="001508EF"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gebruik van hoge doses</w:t>
            </w:r>
            <w:r w:rsidR="003766E5" w:rsidRPr="003B1CAC">
              <w:rPr>
                <w:rFonts w:ascii="Verdana" w:hAnsi="Verdana" w:cs="Arial"/>
                <w:sz w:val="18"/>
                <w:szCs w:val="18"/>
                <w:vertAlign w:val="superscript"/>
                <w:lang w:val="nl-BE"/>
              </w:rPr>
              <w:t>[</w:t>
            </w:r>
            <w:r w:rsidRPr="003B1CAC">
              <w:rPr>
                <w:rFonts w:ascii="Verdana" w:hAnsi="Verdana" w:cs="Tahoma"/>
                <w:sz w:val="18"/>
                <w:szCs w:val="18"/>
                <w:vertAlign w:val="superscript"/>
                <w:lang w:val="nl-BE" w:bidi="en-US"/>
              </w:rPr>
              <w:t>9</w:t>
            </w:r>
            <w:r w:rsidR="003766E5" w:rsidRPr="003B1CAC">
              <w:rPr>
                <w:rFonts w:ascii="Verdana" w:hAnsi="Verdana" w:cs="Arial"/>
                <w:sz w:val="18"/>
                <w:szCs w:val="18"/>
                <w:vertAlign w:val="superscript"/>
                <w:lang w:val="nl-BE"/>
              </w:rPr>
              <w:t>]</w:t>
            </w:r>
          </w:p>
        </w:tc>
      </w:tr>
      <w:tr w:rsidR="00904E73" w:rsidRPr="003B1CAC" w14:paraId="5968642E" w14:textId="77777777" w:rsidTr="00A17FB0">
        <w:tc>
          <w:tcPr>
            <w:tcW w:w="0" w:type="auto"/>
          </w:tcPr>
          <w:p w14:paraId="5CCB3902" w14:textId="21444F10" w:rsidR="00904E73" w:rsidRPr="003B1CAC" w:rsidRDefault="00904E73" w:rsidP="002B30E8">
            <w:pPr>
              <w:tabs>
                <w:tab w:val="left" w:pos="2977"/>
                <w:tab w:val="left" w:pos="3402"/>
                <w:tab w:val="left" w:pos="3969"/>
              </w:tabs>
              <w:rPr>
                <w:rFonts w:ascii="Verdana" w:hAnsi="Verdana" w:cs="Tahoma"/>
                <w:sz w:val="18"/>
                <w:szCs w:val="18"/>
                <w:lang w:val="nl-BE" w:bidi="en-US"/>
              </w:rPr>
            </w:pPr>
            <w:r w:rsidRPr="003B1CAC">
              <w:rPr>
                <w:rFonts w:ascii="Verdana" w:hAnsi="Verdana" w:cs="Tahoma"/>
                <w:sz w:val="18"/>
                <w:szCs w:val="18"/>
                <w:lang w:val="nl-BE"/>
              </w:rPr>
              <w:t>Algemene aandoeningen en</w:t>
            </w:r>
            <w:r w:rsidR="00314DD4" w:rsidRPr="003B1CAC">
              <w:rPr>
                <w:rFonts w:ascii="Verdana" w:hAnsi="Verdana" w:cs="Tahoma"/>
                <w:sz w:val="18"/>
                <w:szCs w:val="18"/>
                <w:lang w:val="nl-BE"/>
              </w:rPr>
              <w:t xml:space="preserve"> t</w:t>
            </w:r>
            <w:r w:rsidRPr="003B1CAC">
              <w:rPr>
                <w:rFonts w:ascii="Verdana" w:hAnsi="Verdana" w:cs="Tahoma"/>
                <w:sz w:val="18"/>
                <w:szCs w:val="18"/>
                <w:lang w:val="nl-BE"/>
              </w:rPr>
              <w:t>oedieningsplaats</w:t>
            </w:r>
            <w:r w:rsidR="00314DD4" w:rsidRPr="003B1CAC">
              <w:rPr>
                <w:rFonts w:ascii="Verdana" w:hAnsi="Verdana" w:cs="Tahoma"/>
                <w:sz w:val="18"/>
                <w:szCs w:val="18"/>
                <w:lang w:val="nl-BE"/>
              </w:rPr>
              <w:t>-</w:t>
            </w:r>
            <w:r w:rsidRPr="003B1CAC">
              <w:rPr>
                <w:rFonts w:ascii="Verdana" w:hAnsi="Verdana" w:cs="Tahoma"/>
                <w:sz w:val="18"/>
                <w:szCs w:val="18"/>
                <w:lang w:val="nl-BE"/>
              </w:rPr>
              <w:t>stoornissen</w:t>
            </w:r>
          </w:p>
        </w:tc>
        <w:tc>
          <w:tcPr>
            <w:tcW w:w="0" w:type="auto"/>
          </w:tcPr>
          <w:p w14:paraId="7B56EFCB" w14:textId="75E15312"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duizeligheid</w:t>
            </w:r>
            <w:r w:rsidR="00B434C6" w:rsidRPr="003B1CAC">
              <w:rPr>
                <w:rFonts w:ascii="Verdana" w:hAnsi="Verdana" w:cs="Tahoma"/>
                <w:sz w:val="18"/>
                <w:szCs w:val="18"/>
                <w:vertAlign w:val="superscript"/>
                <w:lang w:val="nl-BE" w:bidi="en-US"/>
              </w:rPr>
              <w:t>[</w:t>
            </w:r>
            <w:r w:rsidR="005E0F08" w:rsidRPr="003B1CAC">
              <w:rPr>
                <w:rFonts w:ascii="Verdana" w:hAnsi="Verdana" w:cs="Tahoma"/>
                <w:sz w:val="18"/>
                <w:szCs w:val="18"/>
                <w:vertAlign w:val="superscript"/>
                <w:lang w:val="nl-BE" w:bidi="en-US"/>
              </w:rPr>
              <w:t>8,2</w:t>
            </w:r>
            <w:r w:rsidR="00B434C6" w:rsidRPr="003B1CAC">
              <w:rPr>
                <w:rFonts w:ascii="Verdana" w:hAnsi="Verdana" w:cs="Tahoma"/>
                <w:sz w:val="18"/>
                <w:szCs w:val="18"/>
                <w:vertAlign w:val="superscript"/>
                <w:lang w:val="nl-BE" w:bidi="en-US"/>
              </w:rPr>
              <w:t>]</w:t>
            </w:r>
            <w:r w:rsidRPr="003B1CAC">
              <w:rPr>
                <w:rFonts w:ascii="Verdana" w:hAnsi="Verdana" w:cs="Tahoma"/>
                <w:sz w:val="18"/>
                <w:szCs w:val="18"/>
                <w:lang w:val="nl-BE" w:bidi="en-US"/>
              </w:rPr>
              <w:t>, malaise</w:t>
            </w:r>
            <w:r w:rsidR="00B434C6" w:rsidRPr="003B1CAC">
              <w:rPr>
                <w:rFonts w:ascii="Verdana" w:hAnsi="Verdana" w:cs="Tahoma"/>
                <w:sz w:val="18"/>
                <w:szCs w:val="18"/>
                <w:vertAlign w:val="superscript"/>
                <w:lang w:val="nl-BE" w:bidi="en-US"/>
              </w:rPr>
              <w:t>[</w:t>
            </w:r>
            <w:r w:rsidR="009C1C61" w:rsidRPr="003B1CAC">
              <w:rPr>
                <w:rFonts w:ascii="Verdana" w:hAnsi="Verdana" w:cs="Tahoma"/>
                <w:sz w:val="18"/>
                <w:szCs w:val="18"/>
                <w:vertAlign w:val="superscript"/>
                <w:lang w:val="nl-BE" w:bidi="en-US"/>
              </w:rPr>
              <w:t>9</w:t>
            </w:r>
            <w:r w:rsidR="00B434C6" w:rsidRPr="003B1CAC">
              <w:rPr>
                <w:rFonts w:ascii="Verdana" w:hAnsi="Verdana" w:cs="Tahoma"/>
                <w:sz w:val="18"/>
                <w:szCs w:val="18"/>
                <w:vertAlign w:val="superscript"/>
                <w:lang w:val="nl-BE" w:bidi="en-US"/>
              </w:rPr>
              <w:t>]</w:t>
            </w:r>
          </w:p>
        </w:tc>
        <w:tc>
          <w:tcPr>
            <w:tcW w:w="0" w:type="auto"/>
          </w:tcPr>
          <w:p w14:paraId="513A386E"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p>
        </w:tc>
        <w:tc>
          <w:tcPr>
            <w:tcW w:w="0" w:type="auto"/>
          </w:tcPr>
          <w:p w14:paraId="4193AD33" w14:textId="77777777" w:rsidR="00904E73" w:rsidRPr="003B1CAC" w:rsidRDefault="00904E73" w:rsidP="002B30E8">
            <w:pPr>
              <w:widowControl w:val="0"/>
              <w:autoSpaceDE w:val="0"/>
              <w:autoSpaceDN w:val="0"/>
              <w:adjustRightInd w:val="0"/>
              <w:rPr>
                <w:rFonts w:ascii="Verdana" w:hAnsi="Verdana" w:cs="Tahoma"/>
                <w:strike/>
                <w:sz w:val="18"/>
                <w:szCs w:val="18"/>
                <w:lang w:val="nl-BE" w:bidi="en-US"/>
              </w:rPr>
            </w:pPr>
          </w:p>
        </w:tc>
      </w:tr>
      <w:tr w:rsidR="00904E73" w:rsidRPr="003B1CAC" w14:paraId="5F509007" w14:textId="77777777" w:rsidTr="00A17FB0">
        <w:tc>
          <w:tcPr>
            <w:tcW w:w="0" w:type="auto"/>
          </w:tcPr>
          <w:p w14:paraId="14D80CB5"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rPr>
              <w:t>Letsels, intoxicaties en verrichtings</w:t>
            </w:r>
            <w:r w:rsidR="008E4403" w:rsidRPr="003B1CAC">
              <w:rPr>
                <w:rFonts w:ascii="Verdana" w:hAnsi="Verdana" w:cs="Tahoma"/>
                <w:sz w:val="18"/>
                <w:szCs w:val="18"/>
                <w:lang w:val="nl-BE"/>
              </w:rPr>
              <w:t>-</w:t>
            </w:r>
            <w:r w:rsidRPr="003B1CAC">
              <w:rPr>
                <w:rFonts w:ascii="Verdana" w:hAnsi="Verdana" w:cs="Tahoma"/>
                <w:sz w:val="18"/>
                <w:szCs w:val="18"/>
                <w:lang w:val="nl-BE"/>
              </w:rPr>
              <w:t>complicaties</w:t>
            </w:r>
          </w:p>
        </w:tc>
        <w:tc>
          <w:tcPr>
            <w:tcW w:w="0" w:type="auto"/>
          </w:tcPr>
          <w:p w14:paraId="3F6C46FB"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r w:rsidRPr="003B1CAC">
              <w:rPr>
                <w:rFonts w:ascii="Verdana" w:hAnsi="Verdana" w:cs="Tahoma"/>
                <w:sz w:val="18"/>
                <w:szCs w:val="18"/>
                <w:lang w:val="nl-BE" w:bidi="en-US"/>
              </w:rPr>
              <w:t>overdosis en intoxicatie</w:t>
            </w:r>
          </w:p>
        </w:tc>
        <w:tc>
          <w:tcPr>
            <w:tcW w:w="0" w:type="auto"/>
          </w:tcPr>
          <w:p w14:paraId="37EBF31C"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p>
        </w:tc>
        <w:tc>
          <w:tcPr>
            <w:tcW w:w="0" w:type="auto"/>
          </w:tcPr>
          <w:p w14:paraId="71DA5089" w14:textId="77777777" w:rsidR="00904E73" w:rsidRPr="003B1CAC" w:rsidRDefault="00904E73" w:rsidP="002B30E8">
            <w:pPr>
              <w:widowControl w:val="0"/>
              <w:autoSpaceDE w:val="0"/>
              <w:autoSpaceDN w:val="0"/>
              <w:adjustRightInd w:val="0"/>
              <w:rPr>
                <w:rFonts w:ascii="Verdana" w:hAnsi="Verdana" w:cs="Tahoma"/>
                <w:sz w:val="18"/>
                <w:szCs w:val="18"/>
                <w:lang w:val="nl-BE" w:bidi="en-US"/>
              </w:rPr>
            </w:pPr>
          </w:p>
        </w:tc>
      </w:tr>
    </w:tbl>
    <w:p w14:paraId="7698B312" w14:textId="77777777" w:rsidR="001D1A1E" w:rsidRPr="003B1CAC" w:rsidRDefault="001D1A1E" w:rsidP="002B30E8">
      <w:pPr>
        <w:widowControl w:val="0"/>
        <w:autoSpaceDE w:val="0"/>
        <w:autoSpaceDN w:val="0"/>
        <w:adjustRightInd w:val="0"/>
        <w:rPr>
          <w:rFonts w:ascii="Verdana" w:hAnsi="Verdana" w:cs="Tahoma"/>
          <w:sz w:val="18"/>
          <w:szCs w:val="18"/>
          <w:lang w:val="nl-BE" w:bidi="en-US"/>
        </w:rPr>
      </w:pPr>
    </w:p>
    <w:p w14:paraId="5B1AA5CF" w14:textId="2C2D99D2" w:rsidR="004810BD" w:rsidRPr="003B1CAC" w:rsidRDefault="004810BD" w:rsidP="002B30E8">
      <w:pPr>
        <w:tabs>
          <w:tab w:val="left" w:pos="2977"/>
          <w:tab w:val="left" w:pos="3402"/>
          <w:tab w:val="left" w:pos="3969"/>
        </w:tabs>
        <w:rPr>
          <w:rFonts w:ascii="Verdana" w:hAnsi="Verdana" w:cs="Arial"/>
          <w:b/>
          <w:sz w:val="18"/>
          <w:szCs w:val="18"/>
          <w:lang w:val="nl-BE"/>
        </w:rPr>
      </w:pPr>
      <w:r w:rsidRPr="003B1CAC">
        <w:rPr>
          <w:rFonts w:ascii="Verdana" w:hAnsi="Verdana" w:cs="Tahoma"/>
          <w:b/>
          <w:sz w:val="18"/>
          <w:szCs w:val="18"/>
          <w:lang w:val="nl-BE"/>
        </w:rPr>
        <w:t>4.9 Overdosering</w:t>
      </w:r>
      <w:r w:rsidR="00904E73" w:rsidRPr="003B1CAC">
        <w:rPr>
          <w:rFonts w:ascii="Verdana" w:hAnsi="Verdana" w:cs="Arial"/>
          <w:sz w:val="18"/>
          <w:szCs w:val="18"/>
          <w:vertAlign w:val="superscript"/>
          <w:lang w:val="nl-BE"/>
        </w:rPr>
        <w:t>[</w:t>
      </w:r>
      <w:r w:rsidR="00840E5A" w:rsidRPr="003B1CAC">
        <w:rPr>
          <w:rFonts w:ascii="Verdana" w:hAnsi="Verdana" w:cs="Arial"/>
          <w:sz w:val="18"/>
          <w:szCs w:val="18"/>
          <w:vertAlign w:val="superscript"/>
          <w:lang w:val="nl-BE"/>
        </w:rPr>
        <w:t>1,</w:t>
      </w:r>
      <w:r w:rsidR="00DD1C05" w:rsidRPr="003B1CAC">
        <w:rPr>
          <w:rFonts w:ascii="Verdana" w:hAnsi="Verdana" w:cs="Arial"/>
          <w:sz w:val="18"/>
          <w:szCs w:val="18"/>
          <w:vertAlign w:val="superscript"/>
          <w:lang w:val="nl-BE"/>
        </w:rPr>
        <w:t>2</w:t>
      </w:r>
      <w:r w:rsidR="00971D9A" w:rsidRPr="003B1CAC">
        <w:rPr>
          <w:rFonts w:ascii="Verdana" w:hAnsi="Verdana" w:cs="Arial"/>
          <w:sz w:val="18"/>
          <w:szCs w:val="18"/>
          <w:vertAlign w:val="superscript"/>
          <w:lang w:val="nl-BE"/>
        </w:rPr>
        <w:t>,3</w:t>
      </w:r>
      <w:r w:rsidR="00E6171C" w:rsidRPr="003B1CAC">
        <w:rPr>
          <w:rFonts w:ascii="Verdana" w:hAnsi="Verdana" w:cs="Arial"/>
          <w:sz w:val="18"/>
          <w:szCs w:val="18"/>
          <w:vertAlign w:val="superscript"/>
          <w:lang w:val="nl-BE"/>
        </w:rPr>
        <w:t>,5</w:t>
      </w:r>
      <w:r w:rsidR="00904E73" w:rsidRPr="003B1CAC">
        <w:rPr>
          <w:rFonts w:ascii="Verdana" w:hAnsi="Verdana" w:cs="Arial"/>
          <w:sz w:val="18"/>
          <w:szCs w:val="18"/>
          <w:vertAlign w:val="superscript"/>
          <w:lang w:val="nl-BE"/>
        </w:rPr>
        <w:t>]</w:t>
      </w:r>
    </w:p>
    <w:p w14:paraId="2857E22C" w14:textId="166500C0" w:rsidR="00AE0253" w:rsidRPr="003B1CAC" w:rsidRDefault="00565306" w:rsidP="002B30E8">
      <w:pPr>
        <w:tabs>
          <w:tab w:val="left" w:pos="720"/>
        </w:tabs>
        <w:rPr>
          <w:rFonts w:ascii="Verdana" w:hAnsi="Verdana" w:cs="Tahoma"/>
          <w:sz w:val="18"/>
          <w:szCs w:val="18"/>
          <w:lang w:val="nl-BE"/>
        </w:rPr>
      </w:pPr>
      <w:r w:rsidRPr="003B1CAC">
        <w:rPr>
          <w:rFonts w:ascii="Verdana" w:hAnsi="Verdana" w:cs="Tahoma"/>
          <w:sz w:val="18"/>
          <w:szCs w:val="18"/>
          <w:lang w:val="nl-BE"/>
        </w:rPr>
        <w:t>Bij overdosering is er</w:t>
      </w:r>
      <w:r w:rsidR="00170DF5" w:rsidRPr="003B1CAC">
        <w:rPr>
          <w:rFonts w:ascii="Verdana" w:hAnsi="Verdana" w:cs="Tahoma"/>
          <w:sz w:val="18"/>
          <w:szCs w:val="18"/>
          <w:lang w:val="nl-BE"/>
        </w:rPr>
        <w:t xml:space="preserve"> een risico van ernstige levertoxiciteit, in het bijzonder bij ouderen, jonge kinderen, lever- </w:t>
      </w:r>
      <w:r w:rsidR="00A07AC8" w:rsidRPr="003B1CAC">
        <w:rPr>
          <w:rFonts w:ascii="Verdana" w:hAnsi="Verdana" w:cs="Tahoma"/>
          <w:sz w:val="18"/>
          <w:szCs w:val="18"/>
          <w:lang w:val="nl-BE"/>
        </w:rPr>
        <w:t>en/</w:t>
      </w:r>
      <w:r w:rsidR="00170DF5" w:rsidRPr="003B1CAC">
        <w:rPr>
          <w:rFonts w:ascii="Verdana" w:hAnsi="Verdana" w:cs="Tahoma"/>
          <w:sz w:val="18"/>
          <w:szCs w:val="18"/>
          <w:lang w:val="nl-BE"/>
        </w:rPr>
        <w:t xml:space="preserve">of nierinsufficiëntie, chronisch </w:t>
      </w:r>
      <w:r w:rsidR="007C4431" w:rsidRPr="003B1CAC">
        <w:rPr>
          <w:rFonts w:ascii="Verdana" w:hAnsi="Verdana" w:cs="Tahoma"/>
          <w:sz w:val="18"/>
          <w:szCs w:val="18"/>
          <w:lang w:val="nl-BE"/>
        </w:rPr>
        <w:t>alcoholgebruik</w:t>
      </w:r>
      <w:r w:rsidR="00170DF5" w:rsidRPr="003B1CAC">
        <w:rPr>
          <w:rFonts w:ascii="Verdana" w:hAnsi="Verdana" w:cs="Tahoma"/>
          <w:sz w:val="18"/>
          <w:szCs w:val="18"/>
          <w:lang w:val="nl-BE"/>
        </w:rPr>
        <w:t xml:space="preserve">, chronische ondervoeding, bij gebruik van </w:t>
      </w:r>
      <w:proofErr w:type="spellStart"/>
      <w:r w:rsidR="00170DF5" w:rsidRPr="003B1CAC">
        <w:rPr>
          <w:rFonts w:ascii="Verdana" w:hAnsi="Verdana" w:cs="Tahoma"/>
          <w:sz w:val="18"/>
          <w:szCs w:val="18"/>
          <w:lang w:val="nl-BE"/>
        </w:rPr>
        <w:t>enzyminducerende</w:t>
      </w:r>
      <w:proofErr w:type="spellEnd"/>
      <w:r w:rsidR="00170DF5" w:rsidRPr="003B1CAC">
        <w:rPr>
          <w:rFonts w:ascii="Verdana" w:hAnsi="Verdana" w:cs="Tahoma"/>
          <w:sz w:val="18"/>
          <w:szCs w:val="18"/>
          <w:lang w:val="nl-BE"/>
        </w:rPr>
        <w:t xml:space="preserve"> middelen en bij zeer magere volwassenen (&lt;50 kg).</w:t>
      </w:r>
    </w:p>
    <w:p w14:paraId="4E8C8202" w14:textId="77777777" w:rsidR="00AE0253" w:rsidRPr="003B1CAC" w:rsidRDefault="00AE0253" w:rsidP="002B30E8">
      <w:pPr>
        <w:tabs>
          <w:tab w:val="left" w:pos="284"/>
        </w:tabs>
        <w:rPr>
          <w:rFonts w:ascii="Verdana" w:hAnsi="Verdana" w:cs="Tahoma"/>
          <w:sz w:val="18"/>
          <w:szCs w:val="18"/>
          <w:lang w:val="nl-BE"/>
        </w:rPr>
      </w:pPr>
    </w:p>
    <w:p w14:paraId="7F646043" w14:textId="6C72E9E6" w:rsidR="0098765B" w:rsidRPr="003B1CAC" w:rsidRDefault="00AE0253" w:rsidP="002B30E8">
      <w:pPr>
        <w:tabs>
          <w:tab w:val="left" w:pos="720"/>
        </w:tabs>
        <w:rPr>
          <w:rFonts w:ascii="Verdana" w:hAnsi="Verdana" w:cs="Arial"/>
          <w:sz w:val="18"/>
          <w:szCs w:val="18"/>
          <w:lang w:val="en-GB"/>
        </w:rPr>
      </w:pPr>
      <w:r w:rsidRPr="003B1CAC">
        <w:rPr>
          <w:rFonts w:ascii="Verdana" w:hAnsi="Verdana" w:cs="Arial"/>
          <w:sz w:val="18"/>
          <w:szCs w:val="18"/>
          <w:lang w:val="en-GB"/>
        </w:rPr>
        <w:t>&lt;</w:t>
      </w:r>
      <w:proofErr w:type="spellStart"/>
      <w:r w:rsidR="00731141" w:rsidRPr="003B1CAC">
        <w:rPr>
          <w:rFonts w:ascii="Verdana" w:hAnsi="Verdana" w:cs="Arial"/>
          <w:sz w:val="18"/>
          <w:szCs w:val="18"/>
          <w:lang w:val="en-GB"/>
        </w:rPr>
        <w:t>Optioneel</w:t>
      </w:r>
      <w:proofErr w:type="spellEnd"/>
      <w:r w:rsidR="00731141" w:rsidRPr="003B1CAC">
        <w:rPr>
          <w:rFonts w:ascii="Verdana" w:hAnsi="Verdana" w:cs="Arial"/>
          <w:sz w:val="18"/>
          <w:szCs w:val="18"/>
          <w:lang w:val="en-GB"/>
        </w:rPr>
        <w:t xml:space="preserve">: </w:t>
      </w:r>
      <w:r w:rsidR="0098765B" w:rsidRPr="003B1CAC">
        <w:rPr>
          <w:rFonts w:ascii="Verdana" w:hAnsi="Verdana" w:cs="Arial"/>
          <w:sz w:val="18"/>
          <w:szCs w:val="18"/>
          <w:lang w:val="en-GB"/>
        </w:rPr>
        <w:t>Patients on long term treatment with carbamazepine, phenobarbital, phenytoin, primidone, rifampicin, St John’s Wort or other drugs that induce liver enzymes, also have a higher risk for overdose.</w:t>
      </w:r>
      <w:r w:rsidRPr="003B1CAC">
        <w:rPr>
          <w:rFonts w:ascii="Verdana" w:hAnsi="Verdana" w:cs="Arial"/>
          <w:sz w:val="18"/>
          <w:szCs w:val="18"/>
          <w:vertAlign w:val="superscript"/>
          <w:lang w:val="en-GB"/>
        </w:rPr>
        <w:t>[7]</w:t>
      </w:r>
      <w:r w:rsidRPr="003B1CAC">
        <w:rPr>
          <w:rFonts w:ascii="Verdana" w:hAnsi="Verdana" w:cs="Arial"/>
          <w:sz w:val="18"/>
          <w:szCs w:val="18"/>
          <w:lang w:val="en-GB"/>
        </w:rPr>
        <w:t>&gt;</w:t>
      </w:r>
    </w:p>
    <w:p w14:paraId="48CDECDD" w14:textId="77777777" w:rsidR="00170DF5" w:rsidRPr="003B1CAC" w:rsidRDefault="00170DF5" w:rsidP="002B30E8">
      <w:pPr>
        <w:tabs>
          <w:tab w:val="left" w:pos="720"/>
        </w:tabs>
        <w:rPr>
          <w:rFonts w:ascii="Verdana" w:hAnsi="Verdana" w:cs="Tahoma"/>
          <w:sz w:val="18"/>
          <w:szCs w:val="18"/>
          <w:lang w:val="en-GB"/>
        </w:rPr>
      </w:pPr>
    </w:p>
    <w:p w14:paraId="1F04C450" w14:textId="77777777" w:rsidR="00170DF5" w:rsidRPr="003B1CAC" w:rsidRDefault="00170DF5" w:rsidP="002B30E8">
      <w:pPr>
        <w:tabs>
          <w:tab w:val="left" w:pos="720"/>
        </w:tabs>
        <w:rPr>
          <w:rFonts w:ascii="Verdana" w:hAnsi="Verdana" w:cs="Tahoma"/>
          <w:sz w:val="18"/>
          <w:szCs w:val="18"/>
          <w:lang w:val="nl-BE"/>
        </w:rPr>
      </w:pPr>
      <w:r w:rsidRPr="003B1CAC">
        <w:rPr>
          <w:rFonts w:ascii="Verdana" w:hAnsi="Verdana" w:cs="Tahoma"/>
          <w:sz w:val="18"/>
          <w:szCs w:val="18"/>
          <w:lang w:val="nl-BE"/>
        </w:rPr>
        <w:t>De levertoxiciteit treedt dikwijls pas 24 tot 48 uur na de inname op. Overdosering kan fataal zijn. In geval van overdosering moet onmiddellijk een arts worden geraadpleegd, zelfs als er geen symptomen zijn.</w:t>
      </w:r>
    </w:p>
    <w:p w14:paraId="4D71807B" w14:textId="77777777" w:rsidR="00A07AC8" w:rsidRPr="003B1CAC" w:rsidRDefault="00A07AC8">
      <w:pPr>
        <w:rPr>
          <w:rFonts w:ascii="Verdana" w:hAnsi="Verdana" w:cs="Tahoma"/>
          <w:b/>
          <w:bCs/>
          <w:sz w:val="18"/>
          <w:szCs w:val="18"/>
          <w:lang w:val="nl-BE"/>
        </w:rPr>
      </w:pPr>
      <w:r w:rsidRPr="003B1CAC">
        <w:rPr>
          <w:rFonts w:ascii="Verdana" w:hAnsi="Verdana" w:cs="Tahoma"/>
          <w:b/>
          <w:bCs/>
          <w:sz w:val="18"/>
          <w:szCs w:val="18"/>
          <w:lang w:val="nl-BE"/>
        </w:rPr>
        <w:br w:type="page"/>
      </w:r>
    </w:p>
    <w:p w14:paraId="38CAF262" w14:textId="577BB0D0" w:rsidR="00E65F3C" w:rsidRPr="003B1CAC" w:rsidRDefault="00E65F3C" w:rsidP="002B30E8">
      <w:pPr>
        <w:tabs>
          <w:tab w:val="left" w:pos="720"/>
        </w:tabs>
        <w:rPr>
          <w:rFonts w:ascii="Verdana" w:hAnsi="Verdana" w:cs="Tahoma"/>
          <w:sz w:val="18"/>
          <w:szCs w:val="18"/>
          <w:lang w:val="nl-BE"/>
        </w:rPr>
      </w:pPr>
      <w:r w:rsidRPr="003B1CAC">
        <w:rPr>
          <w:rFonts w:ascii="Verdana" w:hAnsi="Verdana" w:cs="Tahoma"/>
          <w:b/>
          <w:bCs/>
          <w:sz w:val="18"/>
          <w:szCs w:val="18"/>
          <w:lang w:val="nl-BE"/>
        </w:rPr>
        <w:t>Symptomen</w:t>
      </w:r>
    </w:p>
    <w:p w14:paraId="5CC16C05" w14:textId="3F3AFE9E" w:rsidR="00BC5979" w:rsidRPr="003B1CAC" w:rsidRDefault="00E65F3C" w:rsidP="002B30E8">
      <w:pPr>
        <w:rPr>
          <w:rFonts w:ascii="Verdana" w:hAnsi="Verdana" w:cs="Tahoma"/>
          <w:sz w:val="18"/>
          <w:szCs w:val="18"/>
          <w:lang w:val="nl-BE"/>
        </w:rPr>
      </w:pPr>
      <w:r w:rsidRPr="003B1CAC">
        <w:rPr>
          <w:rFonts w:ascii="Verdana" w:hAnsi="Verdana" w:cs="Tahoma"/>
          <w:sz w:val="18"/>
          <w:szCs w:val="18"/>
          <w:lang w:val="nl-BE"/>
        </w:rPr>
        <w:t>Misselijkheid, braken</w:t>
      </w:r>
      <w:r w:rsidR="00E21B96" w:rsidRPr="003B1CAC">
        <w:rPr>
          <w:rFonts w:ascii="Verdana" w:hAnsi="Verdana" w:cs="Tahoma"/>
          <w:sz w:val="18"/>
          <w:szCs w:val="18"/>
          <w:lang w:val="nl-BE"/>
        </w:rPr>
        <w:t>, anorexie, bleekheid, buikpijn</w:t>
      </w:r>
      <w:r w:rsidRPr="003B1CAC">
        <w:rPr>
          <w:rFonts w:ascii="Verdana" w:hAnsi="Verdana" w:cs="Tahoma"/>
          <w:sz w:val="18"/>
          <w:szCs w:val="18"/>
          <w:lang w:val="nl-BE"/>
        </w:rPr>
        <w:t xml:space="preserve"> </w:t>
      </w:r>
      <w:r w:rsidR="00F12B03" w:rsidRPr="003B1CAC">
        <w:rPr>
          <w:rFonts w:ascii="Verdana" w:hAnsi="Verdana" w:cs="Tahoma"/>
          <w:sz w:val="18"/>
          <w:szCs w:val="18"/>
          <w:lang w:val="nl-BE"/>
        </w:rPr>
        <w:t>treedt</w:t>
      </w:r>
      <w:r w:rsidRPr="003B1CAC">
        <w:rPr>
          <w:rFonts w:ascii="Verdana" w:hAnsi="Verdana" w:cs="Tahoma"/>
          <w:sz w:val="18"/>
          <w:szCs w:val="18"/>
          <w:lang w:val="nl-BE"/>
        </w:rPr>
        <w:t xml:space="preserve"> </w:t>
      </w:r>
      <w:r w:rsidR="003A5D6B" w:rsidRPr="003B1CAC">
        <w:rPr>
          <w:rFonts w:ascii="Verdana" w:hAnsi="Verdana" w:cs="Tahoma"/>
          <w:sz w:val="18"/>
          <w:szCs w:val="18"/>
          <w:lang w:val="nl-BE"/>
        </w:rPr>
        <w:t>gewoonlijk</w:t>
      </w:r>
      <w:r w:rsidRPr="003B1CAC">
        <w:rPr>
          <w:rFonts w:ascii="Verdana" w:hAnsi="Verdana" w:cs="Tahoma"/>
          <w:sz w:val="18"/>
          <w:szCs w:val="18"/>
          <w:lang w:val="nl-BE"/>
        </w:rPr>
        <w:t xml:space="preserve"> op binnen de eerste 24 uur.</w:t>
      </w:r>
    </w:p>
    <w:p w14:paraId="1629D19C" w14:textId="77777777" w:rsidR="006203D4" w:rsidRPr="003B1CAC" w:rsidRDefault="006203D4" w:rsidP="002B30E8">
      <w:pPr>
        <w:rPr>
          <w:rFonts w:ascii="Verdana" w:hAnsi="Verdana" w:cs="Tahoma"/>
          <w:sz w:val="18"/>
          <w:szCs w:val="18"/>
          <w:lang w:val="nl-BE"/>
        </w:rPr>
      </w:pPr>
    </w:p>
    <w:p w14:paraId="2D06AA6C" w14:textId="5546D22F" w:rsidR="00971D9A" w:rsidRPr="003B1CAC" w:rsidRDefault="00971D9A" w:rsidP="002B30E8">
      <w:pPr>
        <w:rPr>
          <w:rFonts w:ascii="Verdana" w:hAnsi="Verdana" w:cs="Tahoma"/>
          <w:sz w:val="18"/>
          <w:szCs w:val="18"/>
          <w:lang w:val="nl-BE"/>
        </w:rPr>
      </w:pPr>
      <w:r w:rsidRPr="003B1CAC">
        <w:rPr>
          <w:rFonts w:ascii="Verdana" w:hAnsi="Verdana" w:cs="Tahoma"/>
          <w:sz w:val="18"/>
          <w:szCs w:val="18"/>
          <w:lang w:val="nl-BE"/>
        </w:rPr>
        <w:t>Een</w:t>
      </w:r>
      <w:r w:rsidR="00F12B03" w:rsidRPr="003B1CAC">
        <w:rPr>
          <w:rFonts w:ascii="Verdana" w:hAnsi="Verdana" w:cs="Tahoma"/>
          <w:sz w:val="18"/>
          <w:szCs w:val="18"/>
          <w:lang w:val="nl-BE"/>
        </w:rPr>
        <w:t xml:space="preserve"> sterke overdosering (vanaf 10 g bij volwassenen en 150 mg/kg bij kinderen) </w:t>
      </w:r>
      <w:r w:rsidRPr="003B1CAC">
        <w:rPr>
          <w:rFonts w:ascii="Verdana" w:hAnsi="Verdana" w:cs="Tahoma"/>
          <w:sz w:val="18"/>
          <w:szCs w:val="18"/>
          <w:lang w:val="nl-BE"/>
        </w:rPr>
        <w:t>veroorzaakt</w:t>
      </w:r>
      <w:r w:rsidR="00F12B03" w:rsidRPr="003B1CAC">
        <w:rPr>
          <w:rFonts w:ascii="Verdana" w:hAnsi="Verdana" w:cs="Tahoma"/>
          <w:sz w:val="18"/>
          <w:szCs w:val="18"/>
          <w:lang w:val="nl-BE"/>
        </w:rPr>
        <w:t xml:space="preserve"> ernstige levertoxiciteit, </w:t>
      </w:r>
      <w:r w:rsidRPr="003B1CAC">
        <w:rPr>
          <w:rFonts w:ascii="Verdana" w:hAnsi="Verdana" w:cs="Tahoma"/>
          <w:sz w:val="18"/>
          <w:szCs w:val="18"/>
          <w:lang w:val="nl-BE"/>
        </w:rPr>
        <w:t xml:space="preserve">met hepatische </w:t>
      </w:r>
      <w:proofErr w:type="spellStart"/>
      <w:r w:rsidRPr="003B1CAC">
        <w:rPr>
          <w:rFonts w:ascii="Verdana" w:hAnsi="Verdana" w:cs="Tahoma"/>
          <w:sz w:val="18"/>
          <w:szCs w:val="18"/>
          <w:lang w:val="nl-BE"/>
        </w:rPr>
        <w:t>cytolyse</w:t>
      </w:r>
      <w:proofErr w:type="spellEnd"/>
      <w:r w:rsidRPr="003B1CAC">
        <w:rPr>
          <w:rFonts w:ascii="Verdana" w:hAnsi="Verdana" w:cs="Tahoma"/>
          <w:sz w:val="18"/>
          <w:szCs w:val="18"/>
          <w:lang w:val="nl-BE"/>
        </w:rPr>
        <w:t xml:space="preserve">, resulterend in hepatocellulaire insufficiëntie, metabole acidose en encefalopathie, </w:t>
      </w:r>
      <w:r w:rsidR="00A07AC8" w:rsidRPr="003B1CAC">
        <w:rPr>
          <w:rFonts w:ascii="Verdana" w:hAnsi="Verdana" w:cs="Tahoma"/>
          <w:sz w:val="18"/>
          <w:szCs w:val="18"/>
          <w:lang w:val="nl-BE"/>
        </w:rPr>
        <w:t xml:space="preserve">die </w:t>
      </w:r>
      <w:r w:rsidRPr="003B1CAC">
        <w:rPr>
          <w:rFonts w:ascii="Verdana" w:hAnsi="Verdana" w:cs="Tahoma"/>
          <w:sz w:val="18"/>
          <w:szCs w:val="18"/>
          <w:lang w:val="nl-BE"/>
        </w:rPr>
        <w:t xml:space="preserve">kunnen leiden tot coma en dood. Tegelijkertijd zijn verhoogde spiegels van hepatische </w:t>
      </w:r>
      <w:proofErr w:type="spellStart"/>
      <w:r w:rsidRPr="003B1CAC">
        <w:rPr>
          <w:rFonts w:ascii="Verdana" w:hAnsi="Verdana" w:cs="Tahoma"/>
          <w:sz w:val="18"/>
          <w:szCs w:val="18"/>
          <w:lang w:val="nl-BE"/>
        </w:rPr>
        <w:t>transaminasen</w:t>
      </w:r>
      <w:proofErr w:type="spellEnd"/>
      <w:r w:rsidRPr="003B1CAC">
        <w:rPr>
          <w:rFonts w:ascii="Verdana" w:hAnsi="Verdana" w:cs="Tahoma"/>
          <w:sz w:val="18"/>
          <w:szCs w:val="18"/>
          <w:lang w:val="nl-BE"/>
        </w:rPr>
        <w:t xml:space="preserve"> (AST, ALT), lactaatdehydrogenase en bilirubine vastgesteld, in combinatie met een verlengde </w:t>
      </w:r>
      <w:proofErr w:type="spellStart"/>
      <w:r w:rsidRPr="003B1CAC">
        <w:rPr>
          <w:rFonts w:ascii="Verdana" w:hAnsi="Verdana" w:cs="Tahoma"/>
          <w:sz w:val="18"/>
          <w:szCs w:val="18"/>
          <w:lang w:val="nl-BE"/>
        </w:rPr>
        <w:t>protrombinetijd</w:t>
      </w:r>
      <w:proofErr w:type="spellEnd"/>
      <w:r w:rsidRPr="003B1CAC">
        <w:rPr>
          <w:rFonts w:ascii="Verdana" w:hAnsi="Verdana" w:cs="Tahoma"/>
          <w:sz w:val="18"/>
          <w:szCs w:val="18"/>
          <w:lang w:val="nl-BE"/>
        </w:rPr>
        <w:t xml:space="preserve"> (12 tot 48 uur na toediening).</w:t>
      </w:r>
    </w:p>
    <w:p w14:paraId="73C4C0BB" w14:textId="77777777" w:rsidR="00971D9A" w:rsidRPr="003B1CAC" w:rsidRDefault="00971D9A" w:rsidP="002B30E8">
      <w:pPr>
        <w:rPr>
          <w:rFonts w:ascii="Verdana" w:hAnsi="Verdana" w:cs="Tahoma"/>
          <w:sz w:val="18"/>
          <w:szCs w:val="18"/>
          <w:lang w:val="nl-BE"/>
        </w:rPr>
      </w:pPr>
    </w:p>
    <w:p w14:paraId="5E22BB6B" w14:textId="18FA264D" w:rsidR="00F12B03" w:rsidRPr="003B1CAC" w:rsidRDefault="00F12B03" w:rsidP="002B30E8">
      <w:pPr>
        <w:tabs>
          <w:tab w:val="left" w:pos="720"/>
        </w:tabs>
        <w:rPr>
          <w:rFonts w:ascii="Verdana" w:hAnsi="Verdana" w:cs="Tahoma"/>
          <w:sz w:val="18"/>
          <w:szCs w:val="18"/>
          <w:lang w:val="nl-BE"/>
        </w:rPr>
      </w:pPr>
      <w:r w:rsidRPr="003B1CAC">
        <w:rPr>
          <w:rFonts w:ascii="Verdana" w:hAnsi="Verdana" w:cs="Tahoma"/>
          <w:sz w:val="18"/>
          <w:szCs w:val="18"/>
          <w:lang w:val="nl-BE"/>
        </w:rPr>
        <w:t xml:space="preserve">De drempel voor levertoxiciteit </w:t>
      </w:r>
      <w:r w:rsidR="00971D9A" w:rsidRPr="003B1CAC">
        <w:rPr>
          <w:rFonts w:ascii="Verdana" w:hAnsi="Verdana" w:cs="Tahoma"/>
          <w:sz w:val="18"/>
          <w:szCs w:val="18"/>
          <w:lang w:val="nl-BE"/>
        </w:rPr>
        <w:t>kan</w:t>
      </w:r>
      <w:r w:rsidRPr="003B1CAC">
        <w:rPr>
          <w:rFonts w:ascii="Verdana" w:hAnsi="Verdana" w:cs="Tahoma"/>
          <w:sz w:val="18"/>
          <w:szCs w:val="18"/>
          <w:lang w:val="nl-BE"/>
        </w:rPr>
        <w:t xml:space="preserve"> </w:t>
      </w:r>
      <w:r w:rsidR="00971D9A" w:rsidRPr="003B1CAC">
        <w:rPr>
          <w:rFonts w:ascii="Verdana" w:hAnsi="Verdana" w:cs="Tahoma"/>
          <w:sz w:val="18"/>
          <w:szCs w:val="18"/>
          <w:lang w:val="nl-BE"/>
        </w:rPr>
        <w:t xml:space="preserve">zijn </w:t>
      </w:r>
      <w:r w:rsidR="00A07AC8" w:rsidRPr="003B1CAC">
        <w:rPr>
          <w:rFonts w:ascii="Verdana" w:hAnsi="Verdana" w:cs="Tahoma"/>
          <w:sz w:val="18"/>
          <w:szCs w:val="18"/>
          <w:lang w:val="nl-BE"/>
        </w:rPr>
        <w:t xml:space="preserve">verlaagd </w:t>
      </w:r>
      <w:r w:rsidRPr="003B1CAC">
        <w:rPr>
          <w:rFonts w:ascii="Verdana" w:hAnsi="Verdana" w:cs="Tahoma"/>
          <w:sz w:val="18"/>
          <w:szCs w:val="18"/>
          <w:lang w:val="nl-BE"/>
        </w:rPr>
        <w:t xml:space="preserve">bij </w:t>
      </w:r>
      <w:r w:rsidR="00971D9A" w:rsidRPr="003B1CAC">
        <w:rPr>
          <w:rFonts w:ascii="Verdana" w:hAnsi="Verdana" w:cs="Tahoma"/>
          <w:sz w:val="18"/>
          <w:szCs w:val="18"/>
          <w:lang w:val="nl-BE"/>
        </w:rPr>
        <w:t>aanwezigheid</w:t>
      </w:r>
      <w:r w:rsidRPr="003B1CAC">
        <w:rPr>
          <w:rFonts w:ascii="Verdana" w:hAnsi="Verdana" w:cs="Tahoma"/>
          <w:sz w:val="18"/>
          <w:szCs w:val="18"/>
          <w:lang w:val="nl-BE"/>
        </w:rPr>
        <w:t xml:space="preserve"> van </w:t>
      </w:r>
      <w:r w:rsidR="00971D9A" w:rsidRPr="003B1CAC">
        <w:rPr>
          <w:rFonts w:ascii="Verdana" w:hAnsi="Verdana" w:cs="Tahoma"/>
          <w:sz w:val="18"/>
          <w:szCs w:val="18"/>
          <w:lang w:val="nl-BE"/>
        </w:rPr>
        <w:t>hoger genoemde risicofactoren</w:t>
      </w:r>
      <w:r w:rsidRPr="003B1CAC">
        <w:rPr>
          <w:rFonts w:ascii="Verdana" w:hAnsi="Verdana" w:cs="Tahoma"/>
          <w:sz w:val="18"/>
          <w:szCs w:val="18"/>
          <w:lang w:val="nl-BE"/>
        </w:rPr>
        <w:t>.</w:t>
      </w:r>
    </w:p>
    <w:p w14:paraId="757CF0E1" w14:textId="77777777" w:rsidR="00971D9A" w:rsidRPr="003B1CAC" w:rsidRDefault="00971D9A" w:rsidP="002B30E8">
      <w:pPr>
        <w:tabs>
          <w:tab w:val="left" w:pos="720"/>
        </w:tabs>
        <w:rPr>
          <w:rFonts w:ascii="Verdana" w:hAnsi="Verdana" w:cs="Tahoma"/>
          <w:b/>
          <w:bCs/>
          <w:sz w:val="18"/>
          <w:szCs w:val="18"/>
          <w:u w:val="single"/>
          <w:lang w:val="nl-BE"/>
        </w:rPr>
      </w:pPr>
    </w:p>
    <w:p w14:paraId="5531CEFD" w14:textId="77777777" w:rsidR="00E65F3C" w:rsidRPr="003B1CAC" w:rsidRDefault="00FA260B" w:rsidP="002B30E8">
      <w:pPr>
        <w:tabs>
          <w:tab w:val="left" w:pos="720"/>
        </w:tabs>
        <w:rPr>
          <w:rFonts w:ascii="Verdana" w:hAnsi="Verdana" w:cs="Tahoma"/>
          <w:b/>
          <w:bCs/>
          <w:sz w:val="18"/>
          <w:szCs w:val="18"/>
          <w:lang w:val="nl-BE"/>
        </w:rPr>
      </w:pPr>
      <w:r w:rsidRPr="003B1CAC">
        <w:rPr>
          <w:rFonts w:ascii="Verdana" w:hAnsi="Verdana" w:cs="Tahoma"/>
          <w:b/>
          <w:bCs/>
          <w:sz w:val="18"/>
          <w:szCs w:val="18"/>
          <w:lang w:val="nl-BE"/>
        </w:rPr>
        <w:t>Spoedprocedure</w:t>
      </w:r>
    </w:p>
    <w:p w14:paraId="0EF6CB3C" w14:textId="77777777" w:rsidR="00A07AC8" w:rsidRPr="003B1CAC" w:rsidRDefault="00A07AC8" w:rsidP="002B30E8">
      <w:pPr>
        <w:tabs>
          <w:tab w:val="left" w:pos="720"/>
        </w:tabs>
        <w:rPr>
          <w:rFonts w:ascii="Verdana" w:hAnsi="Verdana" w:cs="Tahoma"/>
          <w:sz w:val="18"/>
          <w:szCs w:val="18"/>
          <w:lang w:val="nl-BE"/>
        </w:rPr>
      </w:pPr>
    </w:p>
    <w:p w14:paraId="72DEA56F" w14:textId="4F9C078D" w:rsidR="004810BD" w:rsidRPr="003B1CAC" w:rsidRDefault="00FA260B" w:rsidP="002B30E8">
      <w:pPr>
        <w:numPr>
          <w:ilvl w:val="0"/>
          <w:numId w:val="4"/>
        </w:numPr>
        <w:rPr>
          <w:rFonts w:ascii="Verdana" w:hAnsi="Verdana" w:cs="Tahoma"/>
          <w:sz w:val="18"/>
          <w:szCs w:val="18"/>
          <w:lang w:val="nl-BE"/>
        </w:rPr>
      </w:pPr>
      <w:r w:rsidRPr="003B1CAC">
        <w:rPr>
          <w:rFonts w:ascii="Verdana" w:hAnsi="Verdana" w:cs="Tahoma"/>
          <w:sz w:val="18"/>
          <w:szCs w:val="18"/>
          <w:lang w:val="nl-BE"/>
        </w:rPr>
        <w:t>onmiddellijke</w:t>
      </w:r>
      <w:r w:rsidR="00E65F3C" w:rsidRPr="003B1CAC">
        <w:rPr>
          <w:rFonts w:ascii="Verdana" w:hAnsi="Verdana" w:cs="Tahoma"/>
          <w:sz w:val="18"/>
          <w:szCs w:val="18"/>
          <w:lang w:val="nl-BE"/>
        </w:rPr>
        <w:t xml:space="preserve"> </w:t>
      </w:r>
      <w:r w:rsidR="00971D9A" w:rsidRPr="003B1CAC">
        <w:rPr>
          <w:rFonts w:ascii="Verdana" w:hAnsi="Verdana" w:cs="Tahoma"/>
          <w:sz w:val="18"/>
          <w:szCs w:val="18"/>
          <w:lang w:val="nl-BE"/>
        </w:rPr>
        <w:t>hospitalisatie</w:t>
      </w:r>
    </w:p>
    <w:p w14:paraId="627D983F" w14:textId="77777777" w:rsidR="00BC5979" w:rsidRPr="003B1CAC" w:rsidRDefault="00FA260B" w:rsidP="002B30E8">
      <w:pPr>
        <w:numPr>
          <w:ilvl w:val="0"/>
          <w:numId w:val="4"/>
        </w:numPr>
        <w:rPr>
          <w:rFonts w:ascii="Verdana" w:hAnsi="Verdana" w:cs="Tahoma"/>
          <w:sz w:val="18"/>
          <w:szCs w:val="18"/>
          <w:lang w:val="nl-BE"/>
        </w:rPr>
      </w:pPr>
      <w:r w:rsidRPr="003B1CAC">
        <w:rPr>
          <w:rFonts w:ascii="Verdana" w:hAnsi="Verdana" w:cs="Tahoma"/>
          <w:sz w:val="18"/>
          <w:szCs w:val="18"/>
          <w:lang w:val="nl-BE"/>
        </w:rPr>
        <w:t>bloedafname</w:t>
      </w:r>
      <w:r w:rsidR="00E65F3C" w:rsidRPr="003B1CAC">
        <w:rPr>
          <w:rFonts w:ascii="Verdana" w:hAnsi="Verdana" w:cs="Tahoma"/>
          <w:sz w:val="18"/>
          <w:szCs w:val="18"/>
          <w:lang w:val="nl-BE"/>
        </w:rPr>
        <w:t xml:space="preserve">, </w:t>
      </w:r>
      <w:r w:rsidR="00BC5979" w:rsidRPr="003B1CAC">
        <w:rPr>
          <w:rFonts w:ascii="Verdana" w:hAnsi="Verdana" w:cs="Tahoma"/>
          <w:sz w:val="18"/>
          <w:szCs w:val="18"/>
          <w:lang w:val="nl-BE"/>
        </w:rPr>
        <w:t xml:space="preserve">om de </w:t>
      </w:r>
      <w:r w:rsidR="00E65F3C" w:rsidRPr="003B1CAC">
        <w:rPr>
          <w:rFonts w:ascii="Verdana" w:hAnsi="Verdana" w:cs="Tahoma"/>
          <w:sz w:val="18"/>
          <w:szCs w:val="18"/>
          <w:lang w:val="nl-BE"/>
        </w:rPr>
        <w:t xml:space="preserve">initiële </w:t>
      </w:r>
      <w:r w:rsidR="00BC5979" w:rsidRPr="003B1CAC">
        <w:rPr>
          <w:rFonts w:ascii="Verdana" w:hAnsi="Verdana" w:cs="Tahoma"/>
          <w:sz w:val="18"/>
          <w:szCs w:val="18"/>
          <w:lang w:val="nl-BE"/>
        </w:rPr>
        <w:t xml:space="preserve">paracetamol plasmaconcentratie te </w:t>
      </w:r>
      <w:r w:rsidR="00E65F3C" w:rsidRPr="003B1CAC">
        <w:rPr>
          <w:rFonts w:ascii="Verdana" w:hAnsi="Verdana" w:cs="Tahoma"/>
          <w:sz w:val="18"/>
          <w:szCs w:val="18"/>
          <w:lang w:val="nl-BE"/>
        </w:rPr>
        <w:t>bepal</w:t>
      </w:r>
      <w:r w:rsidR="00BC5979" w:rsidRPr="003B1CAC">
        <w:rPr>
          <w:rFonts w:ascii="Verdana" w:hAnsi="Verdana" w:cs="Tahoma"/>
          <w:sz w:val="18"/>
          <w:szCs w:val="18"/>
          <w:lang w:val="nl-BE"/>
        </w:rPr>
        <w:t>en</w:t>
      </w:r>
    </w:p>
    <w:p w14:paraId="07468BB9" w14:textId="0C2C9E28" w:rsidR="00FA260B" w:rsidRPr="003B1CAC" w:rsidRDefault="00FA260B" w:rsidP="002B30E8">
      <w:pPr>
        <w:numPr>
          <w:ilvl w:val="0"/>
          <w:numId w:val="4"/>
        </w:numPr>
        <w:rPr>
          <w:rFonts w:ascii="Verdana" w:hAnsi="Verdana" w:cs="Tahoma"/>
          <w:sz w:val="18"/>
          <w:szCs w:val="18"/>
          <w:lang w:val="nl-BE"/>
        </w:rPr>
      </w:pPr>
      <w:r w:rsidRPr="003B1CAC">
        <w:rPr>
          <w:rFonts w:ascii="Verdana" w:hAnsi="Verdana" w:cs="Tahoma"/>
          <w:sz w:val="18"/>
          <w:szCs w:val="18"/>
          <w:lang w:val="nl-BE"/>
        </w:rPr>
        <w:t xml:space="preserve">toedienen van het antidotum N-acetylcysteïne, intraveneus of oraal, </w:t>
      </w:r>
      <w:r w:rsidR="00A07AC8" w:rsidRPr="003B1CAC">
        <w:rPr>
          <w:rFonts w:ascii="Verdana" w:hAnsi="Verdana" w:cs="Tahoma"/>
          <w:sz w:val="18"/>
          <w:szCs w:val="18"/>
          <w:lang w:val="nl-BE"/>
        </w:rPr>
        <w:t xml:space="preserve">wanneer </w:t>
      </w:r>
      <w:r w:rsidRPr="003B1CAC">
        <w:rPr>
          <w:rFonts w:ascii="Verdana" w:hAnsi="Verdana" w:cs="Tahoma"/>
          <w:sz w:val="18"/>
          <w:szCs w:val="18"/>
          <w:lang w:val="nl-BE"/>
        </w:rPr>
        <w:t xml:space="preserve">mogelijk binnen de </w:t>
      </w:r>
      <w:r w:rsidR="006203D4" w:rsidRPr="003B1CAC">
        <w:rPr>
          <w:rFonts w:ascii="Verdana" w:hAnsi="Verdana" w:cs="Tahoma"/>
          <w:sz w:val="18"/>
          <w:szCs w:val="18"/>
          <w:lang w:val="nl-BE"/>
        </w:rPr>
        <w:t xml:space="preserve">8 </w:t>
      </w:r>
      <w:r w:rsidRPr="003B1CAC">
        <w:rPr>
          <w:rFonts w:ascii="Verdana" w:hAnsi="Verdana" w:cs="Tahoma"/>
          <w:sz w:val="18"/>
          <w:szCs w:val="18"/>
          <w:lang w:val="nl-BE"/>
        </w:rPr>
        <w:t>uren na inname</w:t>
      </w:r>
    </w:p>
    <w:p w14:paraId="386ADBB9" w14:textId="51E86E64" w:rsidR="00856A8E" w:rsidRPr="003B1CAC" w:rsidRDefault="00856A8E" w:rsidP="002B30E8">
      <w:pPr>
        <w:numPr>
          <w:ilvl w:val="0"/>
          <w:numId w:val="4"/>
        </w:numPr>
        <w:rPr>
          <w:rFonts w:ascii="Verdana" w:hAnsi="Verdana" w:cs="Tahoma"/>
          <w:sz w:val="18"/>
          <w:szCs w:val="18"/>
          <w:lang w:val="nl-BE"/>
        </w:rPr>
      </w:pPr>
      <w:r w:rsidRPr="003B1CAC">
        <w:rPr>
          <w:rFonts w:ascii="Verdana" w:hAnsi="Verdana" w:cs="Tahoma"/>
          <w:sz w:val="18"/>
          <w:szCs w:val="18"/>
          <w:lang w:val="nl-BE"/>
        </w:rPr>
        <w:t>toedien</w:t>
      </w:r>
      <w:r w:rsidR="00BC5979" w:rsidRPr="003B1CAC">
        <w:rPr>
          <w:rFonts w:ascii="Verdana" w:hAnsi="Verdana" w:cs="Tahoma"/>
          <w:sz w:val="18"/>
          <w:szCs w:val="18"/>
          <w:lang w:val="nl-BE"/>
        </w:rPr>
        <w:t>en</w:t>
      </w:r>
      <w:r w:rsidRPr="003B1CAC">
        <w:rPr>
          <w:rFonts w:ascii="Verdana" w:hAnsi="Verdana" w:cs="Tahoma"/>
          <w:sz w:val="18"/>
          <w:szCs w:val="18"/>
          <w:lang w:val="nl-BE"/>
        </w:rPr>
        <w:t xml:space="preserve"> van actieve kool</w:t>
      </w:r>
      <w:r w:rsidR="00BC5979" w:rsidRPr="003B1CAC">
        <w:rPr>
          <w:rFonts w:ascii="Verdana" w:hAnsi="Verdana" w:cs="Tahoma"/>
          <w:sz w:val="18"/>
          <w:szCs w:val="18"/>
          <w:lang w:val="nl-BE"/>
        </w:rPr>
        <w:t xml:space="preserve"> </w:t>
      </w:r>
      <w:r w:rsidRPr="003B1CAC">
        <w:rPr>
          <w:rFonts w:ascii="Verdana" w:hAnsi="Verdana" w:cs="Tahoma"/>
          <w:sz w:val="18"/>
          <w:szCs w:val="18"/>
          <w:lang w:val="nl-BE"/>
        </w:rPr>
        <w:t>binnen het uur na de inname</w:t>
      </w:r>
    </w:p>
    <w:p w14:paraId="767C25CA" w14:textId="5CDFC4AC" w:rsidR="00E65F3C" w:rsidRPr="003B1CAC" w:rsidRDefault="00E65F3C" w:rsidP="002B30E8">
      <w:pPr>
        <w:numPr>
          <w:ilvl w:val="0"/>
          <w:numId w:val="4"/>
        </w:numPr>
        <w:rPr>
          <w:rFonts w:ascii="Verdana" w:hAnsi="Verdana" w:cs="Tahoma"/>
          <w:sz w:val="18"/>
          <w:szCs w:val="18"/>
          <w:lang w:val="nl-BE"/>
        </w:rPr>
      </w:pPr>
      <w:r w:rsidRPr="003B1CAC">
        <w:rPr>
          <w:rFonts w:ascii="Verdana" w:hAnsi="Verdana" w:cs="Tahoma"/>
          <w:sz w:val="18"/>
          <w:szCs w:val="18"/>
          <w:lang w:val="nl-BE"/>
        </w:rPr>
        <w:t>symptomatische behandeling</w:t>
      </w:r>
    </w:p>
    <w:p w14:paraId="13C2B191" w14:textId="77777777" w:rsidR="003154D5" w:rsidRPr="003B1CAC" w:rsidRDefault="003154D5" w:rsidP="002B30E8">
      <w:pPr>
        <w:tabs>
          <w:tab w:val="left" w:pos="2977"/>
          <w:tab w:val="left" w:pos="3402"/>
          <w:tab w:val="left" w:pos="3969"/>
        </w:tabs>
        <w:rPr>
          <w:rFonts w:ascii="Verdana" w:hAnsi="Verdana" w:cs="Tahoma"/>
          <w:sz w:val="18"/>
          <w:szCs w:val="18"/>
          <w:lang w:val="nl-BE"/>
        </w:rPr>
      </w:pPr>
    </w:p>
    <w:p w14:paraId="2F22D2D5" w14:textId="77777777" w:rsidR="00D713CE" w:rsidRPr="003B1CAC" w:rsidRDefault="00D713CE" w:rsidP="002B30E8">
      <w:pPr>
        <w:tabs>
          <w:tab w:val="left" w:pos="2977"/>
          <w:tab w:val="left" w:pos="3402"/>
          <w:tab w:val="left" w:pos="3969"/>
        </w:tabs>
        <w:rPr>
          <w:rFonts w:ascii="Verdana" w:hAnsi="Verdana" w:cs="Arial"/>
          <w:b/>
          <w:sz w:val="18"/>
          <w:szCs w:val="18"/>
          <w:lang w:val="nl-BE"/>
        </w:rPr>
      </w:pPr>
      <w:r w:rsidRPr="003B1CAC">
        <w:rPr>
          <w:rFonts w:ascii="Verdana" w:hAnsi="Verdana" w:cs="Arial"/>
          <w:b/>
          <w:sz w:val="18"/>
          <w:szCs w:val="18"/>
          <w:lang w:val="nl-BE"/>
        </w:rPr>
        <w:t>5.3. Gegevens uit het preklinische veiligheidsonderzoek</w:t>
      </w:r>
    </w:p>
    <w:p w14:paraId="65FEEFF9" w14:textId="0F88EC3B" w:rsidR="00EC683E" w:rsidRPr="003B1CAC" w:rsidRDefault="00D713CE" w:rsidP="002B30E8">
      <w:pPr>
        <w:tabs>
          <w:tab w:val="left" w:pos="2977"/>
          <w:tab w:val="left" w:pos="3402"/>
          <w:tab w:val="left" w:pos="3969"/>
        </w:tabs>
        <w:rPr>
          <w:rFonts w:ascii="Verdana" w:hAnsi="Verdana" w:cs="Arial"/>
          <w:sz w:val="18"/>
          <w:szCs w:val="18"/>
          <w:lang w:val="nl-BE"/>
        </w:rPr>
      </w:pPr>
      <w:r w:rsidRPr="003B1CAC">
        <w:rPr>
          <w:rFonts w:ascii="Verdana" w:hAnsi="Verdana" w:cs="Arial"/>
          <w:sz w:val="18"/>
          <w:szCs w:val="18"/>
          <w:lang w:val="nl-BE"/>
        </w:rPr>
        <w:t xml:space="preserve">Er zijn geen conventionele studies beschikbaar op basis van de momenteel aanvaarde normen voor de evaluatie van de </w:t>
      </w:r>
      <w:r w:rsidR="008C5F32" w:rsidRPr="003B1CAC">
        <w:rPr>
          <w:rFonts w:ascii="Verdana" w:hAnsi="Verdana" w:cs="Arial"/>
          <w:sz w:val="18"/>
          <w:szCs w:val="18"/>
          <w:lang w:val="nl-BE"/>
        </w:rPr>
        <w:t>reproductie- en ontwikkelingstoxiciteit.</w:t>
      </w:r>
      <w:r w:rsidR="008D12E4" w:rsidRPr="003B1CAC">
        <w:rPr>
          <w:rFonts w:ascii="Verdana" w:hAnsi="Verdana" w:cs="Arial"/>
          <w:sz w:val="18"/>
          <w:szCs w:val="18"/>
          <w:vertAlign w:val="superscript"/>
          <w:lang w:val="nl-BE"/>
        </w:rPr>
        <w:t>[12]</w:t>
      </w:r>
    </w:p>
    <w:p w14:paraId="0048FEF3" w14:textId="77777777" w:rsidR="00D713CE" w:rsidRPr="003B1CAC" w:rsidRDefault="00D713CE" w:rsidP="002B30E8">
      <w:pPr>
        <w:tabs>
          <w:tab w:val="left" w:pos="720"/>
        </w:tabs>
        <w:rPr>
          <w:rFonts w:ascii="Verdana" w:hAnsi="Verdana" w:cs="Tahoma"/>
          <w:sz w:val="18"/>
          <w:szCs w:val="18"/>
          <w:lang w:val="nl-BE"/>
        </w:rPr>
      </w:pPr>
    </w:p>
    <w:p w14:paraId="7BB080EB" w14:textId="1D563BF7" w:rsidR="00EC683E" w:rsidRPr="00C336E8" w:rsidRDefault="00EC683E" w:rsidP="002B30E8">
      <w:pPr>
        <w:pStyle w:val="Paragraphedeliste"/>
        <w:numPr>
          <w:ilvl w:val="0"/>
          <w:numId w:val="30"/>
        </w:numPr>
        <w:tabs>
          <w:tab w:val="left" w:pos="480"/>
        </w:tabs>
        <w:rPr>
          <w:rFonts w:ascii="Verdana" w:hAnsi="Verdana" w:cs="Arial"/>
          <w:b/>
          <w:sz w:val="18"/>
          <w:szCs w:val="18"/>
          <w:lang w:val="nl-BE"/>
        </w:rPr>
      </w:pPr>
      <w:r w:rsidRPr="00C336E8">
        <w:rPr>
          <w:rFonts w:ascii="Verdana" w:hAnsi="Verdana" w:cs="Arial"/>
          <w:b/>
          <w:sz w:val="18"/>
          <w:szCs w:val="18"/>
          <w:lang w:val="nl-BE"/>
        </w:rPr>
        <w:t>B</w:t>
      </w:r>
      <w:r w:rsidR="004C4024" w:rsidRPr="00C336E8">
        <w:rPr>
          <w:rFonts w:ascii="Verdana" w:hAnsi="Verdana" w:cs="Arial"/>
          <w:b/>
          <w:sz w:val="18"/>
          <w:szCs w:val="18"/>
          <w:lang w:val="nl-BE"/>
        </w:rPr>
        <w:t>ijsluiter</w:t>
      </w:r>
      <w:r w:rsidR="007A6884">
        <w:rPr>
          <w:rFonts w:ascii="Verdana" w:hAnsi="Verdana" w:cs="Arial"/>
          <w:b/>
          <w:sz w:val="18"/>
          <w:szCs w:val="18"/>
          <w:lang w:val="nl-BE"/>
        </w:rPr>
        <w:t xml:space="preserve"> voor het publiek</w:t>
      </w:r>
    </w:p>
    <w:p w14:paraId="7180DBEF" w14:textId="10473532" w:rsidR="00646CCE" w:rsidRPr="00C336E8" w:rsidRDefault="00BA4979" w:rsidP="002B30E8">
      <w:pPr>
        <w:widowControl w:val="0"/>
        <w:autoSpaceDE w:val="0"/>
        <w:autoSpaceDN w:val="0"/>
        <w:adjustRightInd w:val="0"/>
        <w:rPr>
          <w:rFonts w:ascii="Verdana" w:hAnsi="Verdana" w:cs="TimesNewRomanPS-BoldMT"/>
          <w:iCs/>
          <w:sz w:val="18"/>
          <w:szCs w:val="18"/>
          <w:lang w:val="nl-BE" w:bidi="en-US"/>
        </w:rPr>
      </w:pPr>
      <w:r w:rsidRPr="00C336E8">
        <w:rPr>
          <w:rFonts w:ascii="Verdana" w:hAnsi="Verdana" w:cs="TimesNewRomanPS-BoldMT"/>
          <w:iCs/>
          <w:sz w:val="18"/>
          <w:szCs w:val="18"/>
          <w:lang w:val="nl-BE" w:bidi="en-US"/>
        </w:rPr>
        <w:t xml:space="preserve">De bijsluiter </w:t>
      </w:r>
      <w:r w:rsidR="007A6884">
        <w:rPr>
          <w:rFonts w:ascii="Verdana" w:hAnsi="Verdana" w:cs="TimesNewRomanPS-BoldMT"/>
          <w:iCs/>
          <w:sz w:val="18"/>
          <w:szCs w:val="18"/>
          <w:lang w:val="nl-BE" w:bidi="en-US"/>
        </w:rPr>
        <w:t xml:space="preserve">voor het publiek </w:t>
      </w:r>
      <w:r w:rsidR="00646CCE" w:rsidRPr="00C336E8">
        <w:rPr>
          <w:rFonts w:ascii="Verdana" w:hAnsi="Verdana" w:cs="TimesNewRomanPS-BoldMT"/>
          <w:iCs/>
          <w:sz w:val="18"/>
          <w:szCs w:val="18"/>
          <w:lang w:val="nl-BE" w:bidi="en-US"/>
        </w:rPr>
        <w:t xml:space="preserve">moet </w:t>
      </w:r>
      <w:r w:rsidRPr="00C336E8">
        <w:rPr>
          <w:rFonts w:ascii="Verdana" w:hAnsi="Verdana" w:cs="TimesNewRomanPS-BoldMT"/>
          <w:iCs/>
          <w:sz w:val="18"/>
          <w:szCs w:val="18"/>
          <w:lang w:val="nl-BE" w:bidi="en-US"/>
        </w:rPr>
        <w:t xml:space="preserve">worden opgesteld overeenkomstig de </w:t>
      </w:r>
      <w:r w:rsidR="00646CCE" w:rsidRPr="00C336E8">
        <w:rPr>
          <w:rFonts w:ascii="Verdana" w:hAnsi="Verdana" w:cs="TimesNewRomanPS-BoldMT"/>
          <w:iCs/>
          <w:sz w:val="18"/>
          <w:szCs w:val="18"/>
          <w:lang w:val="nl-BE" w:bidi="en-US"/>
        </w:rPr>
        <w:t>SKP</w:t>
      </w:r>
      <w:r w:rsidRPr="00C336E8">
        <w:rPr>
          <w:rFonts w:ascii="Verdana" w:hAnsi="Verdana" w:cs="TimesNewRomanPS-BoldMT"/>
          <w:iCs/>
          <w:sz w:val="18"/>
          <w:szCs w:val="18"/>
          <w:lang w:val="nl-BE" w:bidi="en-US"/>
        </w:rPr>
        <w:t>.</w:t>
      </w:r>
    </w:p>
    <w:p w14:paraId="10698E34" w14:textId="1CF40F84" w:rsidR="00BA4979" w:rsidRPr="00810720" w:rsidRDefault="00BA4979" w:rsidP="002B30E8">
      <w:pPr>
        <w:widowControl w:val="0"/>
        <w:autoSpaceDE w:val="0"/>
        <w:autoSpaceDN w:val="0"/>
        <w:adjustRightInd w:val="0"/>
        <w:rPr>
          <w:rFonts w:ascii="Verdana" w:hAnsi="Verdana" w:cs="TimesNewRomanPS-BoldMT"/>
          <w:iCs/>
          <w:sz w:val="18"/>
          <w:szCs w:val="18"/>
          <w:highlight w:val="yellow"/>
          <w:lang w:val="nl-BE" w:bidi="en-US"/>
        </w:rPr>
      </w:pPr>
    </w:p>
    <w:p w14:paraId="3C811D22" w14:textId="57A5D2FE" w:rsidR="004C4024" w:rsidRPr="00C336E8" w:rsidRDefault="00646CCE" w:rsidP="002B30E8">
      <w:pPr>
        <w:widowControl w:val="0"/>
        <w:autoSpaceDE w:val="0"/>
        <w:autoSpaceDN w:val="0"/>
        <w:adjustRightInd w:val="0"/>
        <w:rPr>
          <w:rFonts w:ascii="Verdana" w:hAnsi="Verdana" w:cs="TimesNewRomanPS-BoldMT"/>
          <w:iCs/>
          <w:sz w:val="18"/>
          <w:szCs w:val="18"/>
          <w:lang w:val="nl-BE" w:bidi="en-US"/>
        </w:rPr>
      </w:pPr>
      <w:r w:rsidRPr="00C336E8">
        <w:rPr>
          <w:rFonts w:ascii="Verdana" w:hAnsi="Verdana" w:cs="TimesNewRomanPS-BoldMT"/>
          <w:iCs/>
          <w:sz w:val="18"/>
          <w:szCs w:val="18"/>
          <w:lang w:val="nl-BE" w:bidi="en-US"/>
        </w:rPr>
        <w:t>Onder meer de v</w:t>
      </w:r>
      <w:r w:rsidR="00AE7A28" w:rsidRPr="00C336E8">
        <w:rPr>
          <w:rFonts w:ascii="Verdana" w:hAnsi="Verdana" w:cs="TimesNewRomanPS-BoldMT"/>
          <w:iCs/>
          <w:sz w:val="18"/>
          <w:szCs w:val="18"/>
          <w:lang w:val="nl-BE" w:bidi="en-US"/>
        </w:rPr>
        <w:t xml:space="preserve">olgende veiligheidsinformatie </w:t>
      </w:r>
      <w:r w:rsidRPr="00C336E8">
        <w:rPr>
          <w:rFonts w:ascii="Verdana" w:hAnsi="Verdana" w:cs="TimesNewRomanPS-BoldMT"/>
          <w:iCs/>
          <w:sz w:val="18"/>
          <w:szCs w:val="18"/>
          <w:lang w:val="nl-BE" w:bidi="en-US"/>
        </w:rPr>
        <w:t xml:space="preserve">moeten worden </w:t>
      </w:r>
      <w:r w:rsidR="00AE7A28" w:rsidRPr="00C336E8">
        <w:rPr>
          <w:rFonts w:ascii="Verdana" w:hAnsi="Verdana" w:cs="TimesNewRomanPS-BoldMT"/>
          <w:iCs/>
          <w:sz w:val="18"/>
          <w:szCs w:val="18"/>
          <w:lang w:val="nl-BE" w:bidi="en-US"/>
        </w:rPr>
        <w:t>toegevoegd</w:t>
      </w:r>
      <w:r w:rsidR="0046118E" w:rsidRPr="00C336E8">
        <w:rPr>
          <w:rFonts w:ascii="Verdana" w:hAnsi="Verdana" w:cs="TimesNewRomanPS-BoldMT"/>
          <w:iCs/>
          <w:sz w:val="18"/>
          <w:szCs w:val="18"/>
          <w:lang w:val="nl-BE" w:bidi="en-US"/>
        </w:rPr>
        <w:t>:</w:t>
      </w:r>
    </w:p>
    <w:p w14:paraId="54960985" w14:textId="77777777" w:rsidR="00646CCE" w:rsidRPr="00810720" w:rsidRDefault="00646CCE" w:rsidP="002B30E8">
      <w:pPr>
        <w:widowControl w:val="0"/>
        <w:autoSpaceDE w:val="0"/>
        <w:autoSpaceDN w:val="0"/>
        <w:adjustRightInd w:val="0"/>
        <w:rPr>
          <w:rFonts w:ascii="Verdana" w:hAnsi="Verdana" w:cs="TimesNewRomanPS-BoldMT"/>
          <w:iCs/>
          <w:sz w:val="18"/>
          <w:szCs w:val="18"/>
          <w:highlight w:val="yellow"/>
          <w:lang w:val="nl-BE" w:bidi="en-US"/>
        </w:rPr>
      </w:pPr>
    </w:p>
    <w:p w14:paraId="2C3F8416" w14:textId="45ABCEF4" w:rsidR="007E45D7" w:rsidRPr="007A6884" w:rsidRDefault="000E71EA" w:rsidP="007E45D7">
      <w:pPr>
        <w:widowControl w:val="0"/>
        <w:numPr>
          <w:ilvl w:val="0"/>
          <w:numId w:val="10"/>
        </w:numPr>
        <w:autoSpaceDE w:val="0"/>
        <w:autoSpaceDN w:val="0"/>
        <w:adjustRightInd w:val="0"/>
        <w:rPr>
          <w:rFonts w:ascii="Verdana" w:hAnsi="Verdana" w:cs="Arial"/>
          <w:b/>
          <w:sz w:val="18"/>
          <w:szCs w:val="18"/>
          <w:lang w:val="nl-BE"/>
        </w:rPr>
      </w:pPr>
      <w:r w:rsidRPr="007A6884">
        <w:rPr>
          <w:rFonts w:ascii="Verdana" w:hAnsi="Verdana" w:cs="Arial"/>
          <w:b/>
          <w:sz w:val="18"/>
          <w:szCs w:val="18"/>
          <w:lang w:val="nl-BE"/>
        </w:rPr>
        <w:t xml:space="preserve">Rubriek: 2. </w:t>
      </w:r>
      <w:r w:rsidR="007E45D7" w:rsidRPr="007A6884">
        <w:rPr>
          <w:rFonts w:ascii="Verdana" w:hAnsi="Verdana" w:cs="Arial"/>
          <w:b/>
          <w:sz w:val="18"/>
          <w:szCs w:val="18"/>
          <w:lang w:val="nl-BE"/>
        </w:rPr>
        <w:t xml:space="preserve">Wanneer mag u dit </w:t>
      </w:r>
      <w:r w:rsidR="007A6884">
        <w:rPr>
          <w:rFonts w:ascii="Verdana" w:hAnsi="Verdana" w:cs="Arial"/>
          <w:b/>
          <w:sz w:val="18"/>
          <w:szCs w:val="18"/>
          <w:lang w:val="nl-BE"/>
        </w:rPr>
        <w:t>geneesmiddel</w:t>
      </w:r>
      <w:r w:rsidR="007E45D7" w:rsidRPr="007A6884">
        <w:rPr>
          <w:rFonts w:ascii="Verdana" w:hAnsi="Verdana" w:cs="Arial"/>
          <w:b/>
          <w:sz w:val="18"/>
          <w:szCs w:val="18"/>
          <w:lang w:val="nl-BE"/>
        </w:rPr>
        <w:t xml:space="preserve"> niet gebruiken of moet u er extra voorzichtig mee zijn?</w:t>
      </w:r>
    </w:p>
    <w:p w14:paraId="457B5B60" w14:textId="082E999E" w:rsidR="007E45D7" w:rsidRPr="000E71EA" w:rsidRDefault="000E71EA" w:rsidP="007A6884">
      <w:pPr>
        <w:widowControl w:val="0"/>
        <w:autoSpaceDE w:val="0"/>
        <w:autoSpaceDN w:val="0"/>
        <w:adjustRightInd w:val="0"/>
        <w:rPr>
          <w:rFonts w:ascii="Verdana" w:hAnsi="Verdana" w:cs="Arial"/>
          <w:sz w:val="18"/>
          <w:szCs w:val="18"/>
          <w:lang w:val="nl-BE"/>
        </w:rPr>
      </w:pPr>
      <w:r w:rsidRPr="000E71EA">
        <w:rPr>
          <w:rFonts w:ascii="Verdana" w:hAnsi="Verdana" w:cs="Arial"/>
          <w:sz w:val="18"/>
          <w:szCs w:val="18"/>
          <w:lang w:val="nl-BE"/>
        </w:rPr>
        <w:t>Geen alcohol gebruiken tijdens de behandeling met paracetamol.</w:t>
      </w:r>
    </w:p>
    <w:p w14:paraId="7A5D1665" w14:textId="77777777" w:rsidR="000E71EA" w:rsidRPr="000E71EA" w:rsidRDefault="000E71EA" w:rsidP="007A6884">
      <w:pPr>
        <w:widowControl w:val="0"/>
        <w:autoSpaceDE w:val="0"/>
        <w:autoSpaceDN w:val="0"/>
        <w:adjustRightInd w:val="0"/>
        <w:ind w:left="360"/>
        <w:rPr>
          <w:rFonts w:ascii="Verdana" w:hAnsi="Verdana" w:cs="Arial"/>
          <w:sz w:val="18"/>
          <w:szCs w:val="18"/>
          <w:lang w:val="nl-BE"/>
        </w:rPr>
      </w:pPr>
    </w:p>
    <w:p w14:paraId="0E1D2F61" w14:textId="7EE75E58" w:rsidR="000E71EA" w:rsidRPr="007A6884" w:rsidRDefault="000E71EA" w:rsidP="000E71EA">
      <w:pPr>
        <w:rPr>
          <w:rFonts w:ascii="Verdana" w:hAnsi="Verdana" w:cs="Arial"/>
          <w:b/>
          <w:sz w:val="18"/>
          <w:szCs w:val="18"/>
          <w:lang w:val="nl-BE"/>
        </w:rPr>
      </w:pPr>
      <w:r w:rsidRPr="007A6884">
        <w:rPr>
          <w:rFonts w:ascii="Verdana" w:hAnsi="Verdana" w:cs="Arial"/>
          <w:b/>
          <w:sz w:val="18"/>
          <w:szCs w:val="18"/>
          <w:lang w:val="nl-BE"/>
        </w:rPr>
        <w:t>Zwangerschap en borstvoeding</w:t>
      </w:r>
    </w:p>
    <w:p w14:paraId="10AF4261" w14:textId="77777777" w:rsidR="000E71EA" w:rsidRPr="003B1CAC" w:rsidRDefault="000E71EA" w:rsidP="000E71EA">
      <w:pPr>
        <w:rPr>
          <w:rFonts w:ascii="Verdana" w:hAnsi="Verdana" w:cs="Arial"/>
          <w:sz w:val="18"/>
          <w:szCs w:val="18"/>
          <w:vertAlign w:val="superscript"/>
          <w:lang w:val="nl-BE"/>
        </w:rPr>
      </w:pPr>
      <w:r w:rsidRPr="007A6884">
        <w:rPr>
          <w:rFonts w:ascii="Verdana" w:hAnsi="Verdana" w:cs="Arial"/>
          <w:sz w:val="18"/>
          <w:szCs w:val="18"/>
          <w:lang w:val="nl-BE"/>
        </w:rPr>
        <w:t>Als het echt nodig is, mag u &lt;productnaam&gt; tijdens de zwangerschap gebruiken. Gebruik de laagst mogelijke dosering om de pijn of koorts te verminderen en gebruik het middel zo kort mogelijk. Neem contact op met uw &lt;arts&gt; &lt;of&gt; &lt;vroedvrouw&gt; als de pijn of koorts niet vermindert of als u het middel vaker moet innemen.</w:t>
      </w:r>
      <w:r w:rsidRPr="007A6884">
        <w:rPr>
          <w:rFonts w:ascii="Verdana" w:hAnsi="Verdana" w:cs="Arial"/>
          <w:sz w:val="18"/>
          <w:szCs w:val="18"/>
          <w:vertAlign w:val="superscript"/>
          <w:lang w:val="nl-BE"/>
        </w:rPr>
        <w:t>[12]</w:t>
      </w:r>
    </w:p>
    <w:p w14:paraId="603118E0" w14:textId="77777777" w:rsidR="000E71EA" w:rsidRDefault="000E71EA" w:rsidP="007A6884">
      <w:pPr>
        <w:widowControl w:val="0"/>
        <w:autoSpaceDE w:val="0"/>
        <w:autoSpaceDN w:val="0"/>
        <w:adjustRightInd w:val="0"/>
        <w:rPr>
          <w:rFonts w:ascii="Verdana" w:hAnsi="Verdana" w:cs="Arial"/>
          <w:sz w:val="18"/>
          <w:szCs w:val="18"/>
          <w:lang w:val="nl-BE"/>
        </w:rPr>
      </w:pPr>
    </w:p>
    <w:p w14:paraId="569430B3" w14:textId="77777777" w:rsidR="000E71EA" w:rsidRPr="007E45D7" w:rsidRDefault="000E71EA" w:rsidP="007A6884">
      <w:pPr>
        <w:widowControl w:val="0"/>
        <w:autoSpaceDE w:val="0"/>
        <w:autoSpaceDN w:val="0"/>
        <w:adjustRightInd w:val="0"/>
        <w:ind w:left="360"/>
        <w:rPr>
          <w:rFonts w:ascii="Verdana" w:hAnsi="Verdana" w:cs="Arial"/>
          <w:sz w:val="18"/>
          <w:szCs w:val="18"/>
          <w:highlight w:val="yellow"/>
          <w:lang w:val="nl-BE"/>
        </w:rPr>
      </w:pPr>
    </w:p>
    <w:p w14:paraId="2E92482C" w14:textId="0D1B5281" w:rsidR="000E71EA" w:rsidRPr="007A6884" w:rsidRDefault="000E71EA" w:rsidP="00453C8F">
      <w:pPr>
        <w:widowControl w:val="0"/>
        <w:numPr>
          <w:ilvl w:val="0"/>
          <w:numId w:val="10"/>
        </w:numPr>
        <w:autoSpaceDE w:val="0"/>
        <w:autoSpaceDN w:val="0"/>
        <w:adjustRightInd w:val="0"/>
        <w:rPr>
          <w:rFonts w:ascii="Verdana" w:hAnsi="Verdana" w:cs="Arial"/>
          <w:b/>
          <w:sz w:val="18"/>
          <w:szCs w:val="18"/>
          <w:lang w:val="nl-BE"/>
        </w:rPr>
      </w:pPr>
      <w:r w:rsidRPr="007A6884">
        <w:rPr>
          <w:rFonts w:ascii="Verdana" w:hAnsi="Verdana" w:cs="TimesNewRomanPS-BoldMT"/>
          <w:b/>
          <w:iCs/>
          <w:sz w:val="18"/>
          <w:szCs w:val="18"/>
          <w:lang w:val="nl-BE" w:bidi="en-US"/>
        </w:rPr>
        <w:t xml:space="preserve">Rubriek: 3. </w:t>
      </w:r>
      <w:r w:rsidR="00453C8F" w:rsidRPr="007A6884">
        <w:rPr>
          <w:rFonts w:ascii="Verdana" w:hAnsi="Verdana" w:cs="TimesNewRomanPS-BoldMT"/>
          <w:b/>
          <w:iCs/>
          <w:sz w:val="18"/>
          <w:szCs w:val="18"/>
          <w:lang w:val="nl-BE" w:bidi="en-US"/>
        </w:rPr>
        <w:t xml:space="preserve">Hoe gebruikt u dit </w:t>
      </w:r>
      <w:r w:rsidR="007A6884">
        <w:rPr>
          <w:rFonts w:ascii="Verdana" w:hAnsi="Verdana" w:cs="TimesNewRomanPS-BoldMT"/>
          <w:b/>
          <w:iCs/>
          <w:sz w:val="18"/>
          <w:szCs w:val="18"/>
          <w:lang w:val="nl-BE" w:bidi="en-US"/>
        </w:rPr>
        <w:t>geneesmiddel</w:t>
      </w:r>
      <w:r w:rsidR="00453C8F" w:rsidRPr="007A6884">
        <w:rPr>
          <w:rFonts w:ascii="Verdana" w:hAnsi="Verdana" w:cs="TimesNewRomanPS-BoldMT"/>
          <w:b/>
          <w:iCs/>
          <w:sz w:val="18"/>
          <w:szCs w:val="18"/>
          <w:lang w:val="nl-BE" w:bidi="en-US"/>
        </w:rPr>
        <w:t>?</w:t>
      </w:r>
    </w:p>
    <w:p w14:paraId="118755E4" w14:textId="0360F9AA" w:rsidR="00DB62E9" w:rsidRPr="000E71EA" w:rsidRDefault="00046F1A" w:rsidP="007A6884">
      <w:pPr>
        <w:widowControl w:val="0"/>
        <w:autoSpaceDE w:val="0"/>
        <w:autoSpaceDN w:val="0"/>
        <w:adjustRightInd w:val="0"/>
        <w:rPr>
          <w:rFonts w:ascii="Verdana" w:hAnsi="Verdana" w:cs="Arial"/>
          <w:sz w:val="18"/>
          <w:szCs w:val="18"/>
          <w:highlight w:val="yellow"/>
          <w:lang w:val="nl-BE"/>
        </w:rPr>
      </w:pPr>
      <w:r w:rsidRPr="007A6884">
        <w:rPr>
          <w:rFonts w:ascii="Verdana" w:hAnsi="Verdana" w:cs="TimesNewRomanPS-BoldMT"/>
          <w:iCs/>
          <w:sz w:val="18"/>
          <w:szCs w:val="18"/>
          <w:lang w:val="nl-BE" w:bidi="en-US"/>
        </w:rPr>
        <w:t>E</w:t>
      </w:r>
      <w:r w:rsidR="00646CCE" w:rsidRPr="007A6884">
        <w:rPr>
          <w:rFonts w:ascii="Verdana" w:hAnsi="Verdana" w:cs="TimesNewRomanPS-BoldMT"/>
          <w:iCs/>
          <w:sz w:val="18"/>
          <w:szCs w:val="18"/>
          <w:lang w:val="nl-BE" w:bidi="en-US"/>
        </w:rPr>
        <w:t>r moet e</w:t>
      </w:r>
      <w:r w:rsidRPr="007A6884">
        <w:rPr>
          <w:rFonts w:ascii="Verdana" w:hAnsi="Verdana" w:cs="TimesNewRomanPS-BoldMT"/>
          <w:iCs/>
          <w:sz w:val="18"/>
          <w:szCs w:val="18"/>
          <w:lang w:val="nl-BE" w:bidi="en-US"/>
        </w:rPr>
        <w:t xml:space="preserve">en arts </w:t>
      </w:r>
      <w:r w:rsidR="00646CCE" w:rsidRPr="007A6884">
        <w:rPr>
          <w:rFonts w:ascii="Verdana" w:hAnsi="Verdana" w:cs="TimesNewRomanPS-BoldMT"/>
          <w:iCs/>
          <w:sz w:val="18"/>
          <w:szCs w:val="18"/>
          <w:lang w:val="nl-BE" w:bidi="en-US"/>
        </w:rPr>
        <w:t xml:space="preserve">worden </w:t>
      </w:r>
      <w:r w:rsidRPr="007A6884">
        <w:rPr>
          <w:rFonts w:ascii="Verdana" w:hAnsi="Verdana" w:cs="TimesNewRomanPS-BoldMT"/>
          <w:iCs/>
          <w:sz w:val="18"/>
          <w:szCs w:val="18"/>
          <w:lang w:val="nl-BE" w:bidi="en-US"/>
        </w:rPr>
        <w:t xml:space="preserve">geraadpleegd </w:t>
      </w:r>
      <w:r w:rsidR="00646CCE" w:rsidRPr="007A6884">
        <w:rPr>
          <w:rFonts w:ascii="Verdana" w:hAnsi="Verdana" w:cs="TimesNewRomanPS-BoldMT"/>
          <w:iCs/>
          <w:sz w:val="18"/>
          <w:szCs w:val="18"/>
          <w:lang w:val="nl-BE" w:bidi="en-US"/>
        </w:rPr>
        <w:t>wanneer</w:t>
      </w:r>
      <w:r w:rsidRPr="007A6884">
        <w:rPr>
          <w:rFonts w:ascii="Verdana" w:hAnsi="Verdana" w:cs="TimesNewRomanPS-BoldMT"/>
          <w:iCs/>
          <w:sz w:val="18"/>
          <w:szCs w:val="18"/>
          <w:lang w:val="nl-BE" w:bidi="en-US"/>
        </w:rPr>
        <w:t xml:space="preserve"> de pijn of koorts langer dan </w:t>
      </w:r>
      <w:r w:rsidR="00646CCE" w:rsidRPr="007A6884">
        <w:rPr>
          <w:rFonts w:ascii="Verdana" w:hAnsi="Verdana" w:cs="TimesNewRomanPS-BoldMT"/>
          <w:iCs/>
          <w:sz w:val="18"/>
          <w:szCs w:val="18"/>
          <w:lang w:val="nl-BE" w:bidi="en-US"/>
        </w:rPr>
        <w:t>drie</w:t>
      </w:r>
      <w:r w:rsidRPr="007A6884">
        <w:rPr>
          <w:rFonts w:ascii="Verdana" w:hAnsi="Verdana" w:cs="TimesNewRomanPS-BoldMT"/>
          <w:iCs/>
          <w:sz w:val="18"/>
          <w:szCs w:val="18"/>
          <w:lang w:val="nl-BE" w:bidi="en-US"/>
        </w:rPr>
        <w:t xml:space="preserve"> dagen aanhoud</w:t>
      </w:r>
      <w:r w:rsidR="001142FE" w:rsidRPr="007A6884">
        <w:rPr>
          <w:rFonts w:ascii="Verdana" w:hAnsi="Verdana" w:cs="TimesNewRomanPS-BoldMT"/>
          <w:iCs/>
          <w:sz w:val="18"/>
          <w:szCs w:val="18"/>
          <w:lang w:val="nl-BE" w:bidi="en-US"/>
        </w:rPr>
        <w:t>t</w:t>
      </w:r>
      <w:r w:rsidRPr="007A6884">
        <w:rPr>
          <w:rFonts w:ascii="Verdana" w:hAnsi="Verdana" w:cs="TimesNewRomanPS-BoldMT"/>
          <w:iCs/>
          <w:sz w:val="18"/>
          <w:szCs w:val="18"/>
          <w:lang w:val="nl-BE" w:bidi="en-US"/>
        </w:rPr>
        <w:t>.</w:t>
      </w:r>
    </w:p>
    <w:p w14:paraId="3A856BBC" w14:textId="77777777" w:rsidR="00453C8F" w:rsidRPr="007A6884" w:rsidRDefault="00453C8F" w:rsidP="007A6884">
      <w:pPr>
        <w:widowControl w:val="0"/>
        <w:autoSpaceDE w:val="0"/>
        <w:autoSpaceDN w:val="0"/>
        <w:adjustRightInd w:val="0"/>
        <w:rPr>
          <w:rFonts w:ascii="Verdana" w:hAnsi="Verdana" w:cs="Arial"/>
          <w:sz w:val="18"/>
          <w:szCs w:val="18"/>
          <w:lang w:val="nl-BE"/>
        </w:rPr>
      </w:pPr>
    </w:p>
    <w:p w14:paraId="1FD39A22" w14:textId="746049B7" w:rsidR="00453C8F" w:rsidRPr="007A6884" w:rsidRDefault="00453C8F" w:rsidP="00453C8F">
      <w:pPr>
        <w:widowControl w:val="0"/>
        <w:numPr>
          <w:ilvl w:val="0"/>
          <w:numId w:val="10"/>
        </w:numPr>
        <w:autoSpaceDE w:val="0"/>
        <w:autoSpaceDN w:val="0"/>
        <w:adjustRightInd w:val="0"/>
        <w:rPr>
          <w:rFonts w:ascii="Verdana" w:hAnsi="Verdana" w:cs="Arial"/>
          <w:b/>
          <w:sz w:val="18"/>
          <w:szCs w:val="18"/>
          <w:lang w:val="nl-BE"/>
        </w:rPr>
      </w:pPr>
      <w:r w:rsidRPr="007A6884">
        <w:rPr>
          <w:rFonts w:ascii="Verdana" w:hAnsi="Verdana" w:cs="Arial"/>
          <w:b/>
          <w:sz w:val="18"/>
          <w:szCs w:val="18"/>
          <w:lang w:val="nl-BE"/>
        </w:rPr>
        <w:t>Rubriek: 4. Mogelijke bijwerkingen</w:t>
      </w:r>
    </w:p>
    <w:p w14:paraId="0FF6B92A" w14:textId="13CCBB82" w:rsidR="00DB62E9" w:rsidRPr="007A6884" w:rsidRDefault="008E2DED" w:rsidP="007A6884">
      <w:pPr>
        <w:widowControl w:val="0"/>
        <w:autoSpaceDE w:val="0"/>
        <w:autoSpaceDN w:val="0"/>
        <w:adjustRightInd w:val="0"/>
        <w:rPr>
          <w:rFonts w:ascii="Verdana" w:hAnsi="Verdana" w:cs="Arial"/>
          <w:sz w:val="18"/>
          <w:szCs w:val="18"/>
          <w:lang w:val="nl-BE"/>
        </w:rPr>
      </w:pPr>
      <w:r w:rsidRPr="007A6884">
        <w:rPr>
          <w:rFonts w:ascii="Verdana" w:hAnsi="Verdana" w:cs="Arial"/>
          <w:sz w:val="18"/>
          <w:szCs w:val="18"/>
          <w:lang w:val="nl-BE"/>
        </w:rPr>
        <w:t>Zeer zeldzame gevallen van ernstige huidreacties zijn gemeld.</w:t>
      </w:r>
    </w:p>
    <w:p w14:paraId="13F05EEC" w14:textId="77777777" w:rsidR="00B02126" w:rsidRPr="00810720" w:rsidRDefault="00B02126" w:rsidP="002B30E8">
      <w:pPr>
        <w:widowControl w:val="0"/>
        <w:autoSpaceDE w:val="0"/>
        <w:autoSpaceDN w:val="0"/>
        <w:adjustRightInd w:val="0"/>
        <w:rPr>
          <w:rFonts w:ascii="Verdana" w:hAnsi="Verdana" w:cs="Arial"/>
          <w:sz w:val="18"/>
          <w:szCs w:val="18"/>
          <w:highlight w:val="yellow"/>
          <w:lang w:val="nl-BE"/>
        </w:rPr>
      </w:pPr>
    </w:p>
    <w:p w14:paraId="7D90A9A0" w14:textId="77777777" w:rsidR="005A53A7" w:rsidRPr="003B1CAC" w:rsidRDefault="005A53A7" w:rsidP="00B02126">
      <w:pPr>
        <w:rPr>
          <w:rFonts w:ascii="Verdana" w:hAnsi="Verdana" w:cs="Arial"/>
          <w:b/>
          <w:sz w:val="18"/>
          <w:szCs w:val="18"/>
          <w:u w:val="single"/>
          <w:lang w:val="nl-BE"/>
        </w:rPr>
      </w:pPr>
      <w:r w:rsidRPr="003B1CAC">
        <w:rPr>
          <w:rFonts w:ascii="Verdana" w:hAnsi="Verdana" w:cs="Arial"/>
          <w:b/>
          <w:sz w:val="18"/>
          <w:szCs w:val="18"/>
          <w:u w:val="single"/>
          <w:lang w:val="nl-BE"/>
        </w:rPr>
        <w:br w:type="page"/>
      </w:r>
    </w:p>
    <w:p w14:paraId="31C85DFB" w14:textId="77777777" w:rsidR="0067540B" w:rsidRPr="003B1CAC" w:rsidRDefault="007C56EF" w:rsidP="002B30E8">
      <w:pPr>
        <w:rPr>
          <w:rFonts w:ascii="Verdana" w:hAnsi="Verdana" w:cs="Arial"/>
          <w:b/>
          <w:sz w:val="18"/>
          <w:szCs w:val="18"/>
          <w:lang w:val="nl-BE"/>
        </w:rPr>
      </w:pPr>
      <w:r w:rsidRPr="003B1CAC">
        <w:rPr>
          <w:rFonts w:ascii="Verdana" w:hAnsi="Verdana" w:cs="Arial"/>
          <w:b/>
          <w:sz w:val="18"/>
          <w:szCs w:val="18"/>
          <w:lang w:val="nl-BE"/>
        </w:rPr>
        <w:t>Referenties</w:t>
      </w:r>
    </w:p>
    <w:p w14:paraId="6ECA2D96" w14:textId="77777777" w:rsidR="00BA1A1B" w:rsidRPr="003B1CAC" w:rsidRDefault="00BA1A1B" w:rsidP="002B30E8">
      <w:pPr>
        <w:rPr>
          <w:rFonts w:ascii="Verdana" w:hAnsi="Verdana" w:cs="Arial"/>
          <w:sz w:val="18"/>
          <w:szCs w:val="18"/>
          <w:lang w:val="nl-BE"/>
        </w:rPr>
      </w:pPr>
    </w:p>
    <w:p w14:paraId="5D43D7AA" w14:textId="77777777" w:rsidR="0005411B" w:rsidRPr="003B1CAC" w:rsidRDefault="00DD1C05" w:rsidP="002B30E8">
      <w:pPr>
        <w:numPr>
          <w:ilvl w:val="0"/>
          <w:numId w:val="7"/>
        </w:numPr>
        <w:rPr>
          <w:rFonts w:ascii="Verdana" w:hAnsi="Verdana" w:cs="Arial"/>
          <w:sz w:val="18"/>
          <w:szCs w:val="18"/>
          <w:lang w:val="en-GB"/>
        </w:rPr>
      </w:pPr>
      <w:r w:rsidRPr="003B1CAC">
        <w:rPr>
          <w:rFonts w:ascii="Verdana" w:hAnsi="Verdana" w:cs="Arial"/>
          <w:sz w:val="18"/>
          <w:szCs w:val="18"/>
          <w:lang w:val="en-GB"/>
        </w:rPr>
        <w:t xml:space="preserve">MARTINDALE - The Complete Drug Reference </w:t>
      </w:r>
      <w:r w:rsidR="0005411B" w:rsidRPr="003B1CAC">
        <w:rPr>
          <w:rFonts w:ascii="Verdana" w:hAnsi="Verdana" w:cs="Arial"/>
          <w:sz w:val="18"/>
          <w:szCs w:val="18"/>
          <w:lang w:val="en-GB"/>
        </w:rPr>
        <w:t>(last access 17 Jan 2013)</w:t>
      </w:r>
    </w:p>
    <w:p w14:paraId="0EB57E7C" w14:textId="6C0AC2FF" w:rsidR="00D22017" w:rsidRPr="003B1CAC" w:rsidRDefault="00D22017" w:rsidP="002B30E8">
      <w:pPr>
        <w:numPr>
          <w:ilvl w:val="0"/>
          <w:numId w:val="7"/>
        </w:numPr>
        <w:rPr>
          <w:rFonts w:ascii="Verdana" w:hAnsi="Verdana" w:cs="Arial"/>
          <w:sz w:val="18"/>
          <w:szCs w:val="18"/>
          <w:lang w:val="nl-BE"/>
        </w:rPr>
      </w:pPr>
      <w:r w:rsidRPr="003B1CAC">
        <w:rPr>
          <w:rFonts w:ascii="Verdana" w:hAnsi="Verdana" w:cs="Arial"/>
          <w:sz w:val="18"/>
          <w:szCs w:val="18"/>
          <w:lang w:val="en-GB"/>
        </w:rPr>
        <w:t xml:space="preserve">“Paracetamol use at therapeutic doses in severe hepatic impairment or severe haemolytic anaemia - Summary of Assessment Outcome agreed by </w:t>
      </w:r>
      <w:proofErr w:type="spellStart"/>
      <w:r w:rsidRPr="003B1CAC">
        <w:rPr>
          <w:rFonts w:ascii="Verdana" w:hAnsi="Verdana" w:cs="Arial"/>
          <w:sz w:val="18"/>
          <w:szCs w:val="18"/>
          <w:lang w:val="en-GB"/>
        </w:rPr>
        <w:t>PhVWP</w:t>
      </w:r>
      <w:proofErr w:type="spellEnd"/>
      <w:r w:rsidRPr="003B1CAC">
        <w:rPr>
          <w:rFonts w:ascii="Verdana" w:hAnsi="Verdana" w:cs="Arial"/>
          <w:sz w:val="18"/>
          <w:szCs w:val="18"/>
          <w:lang w:val="en-GB"/>
        </w:rPr>
        <w:t xml:space="preserve"> in July 2011” Doc. Ref.: </w:t>
      </w:r>
      <w:hyperlink r:id="rId13" w:history="1">
        <w:proofErr w:type="spellStart"/>
        <w:r w:rsidRPr="003B1CAC">
          <w:rPr>
            <w:rStyle w:val="Lienhypertexte"/>
            <w:rFonts w:ascii="Verdana" w:hAnsi="Verdana"/>
            <w:sz w:val="18"/>
            <w:szCs w:val="18"/>
            <w:lang w:val="en-GB"/>
          </w:rPr>
          <w:t>CMDh</w:t>
        </w:r>
        <w:proofErr w:type="spellEnd"/>
        <w:r w:rsidRPr="003B1CAC">
          <w:rPr>
            <w:rStyle w:val="Lienhypertexte"/>
            <w:rFonts w:ascii="Verdana" w:hAnsi="Verdana"/>
            <w:sz w:val="18"/>
            <w:szCs w:val="18"/>
            <w:lang w:val="en-GB"/>
          </w:rPr>
          <w:t>/</w:t>
        </w:r>
        <w:proofErr w:type="spellStart"/>
        <w:r w:rsidRPr="003B1CAC">
          <w:rPr>
            <w:rStyle w:val="Lienhypertexte"/>
            <w:rFonts w:ascii="Verdana" w:hAnsi="Verdana"/>
            <w:sz w:val="18"/>
            <w:szCs w:val="18"/>
            <w:lang w:val="en-GB"/>
          </w:rPr>
          <w:t>PhWP</w:t>
        </w:r>
        <w:proofErr w:type="spellEnd"/>
        <w:r w:rsidRPr="003B1CAC">
          <w:rPr>
            <w:rStyle w:val="Lienhypertexte"/>
            <w:rFonts w:ascii="Verdana" w:hAnsi="Verdana"/>
            <w:sz w:val="18"/>
            <w:szCs w:val="18"/>
            <w:lang w:val="en-GB"/>
          </w:rPr>
          <w:t xml:space="preserve">/032/2011 dd. </w:t>
        </w:r>
        <w:r w:rsidRPr="003B1CAC">
          <w:rPr>
            <w:rStyle w:val="Lienhypertexte"/>
            <w:rFonts w:ascii="Verdana" w:hAnsi="Verdana"/>
            <w:sz w:val="18"/>
            <w:szCs w:val="18"/>
            <w:lang w:val="nl-BE"/>
          </w:rPr>
          <w:t>September 2011</w:t>
        </w:r>
      </w:hyperlink>
    </w:p>
    <w:p w14:paraId="286608D3" w14:textId="21CF045E" w:rsidR="00231084" w:rsidRPr="003B1CAC" w:rsidRDefault="00B717FC" w:rsidP="002B30E8">
      <w:pPr>
        <w:ind w:left="360"/>
        <w:rPr>
          <w:rFonts w:ascii="Verdana" w:hAnsi="Verdana" w:cs="Arial"/>
          <w:sz w:val="18"/>
          <w:szCs w:val="18"/>
          <w:lang w:val="en-GB"/>
        </w:rPr>
      </w:pPr>
      <w:hyperlink r:id="rId14" w:history="1">
        <w:r w:rsidR="00231084" w:rsidRPr="003B1CAC">
          <w:rPr>
            <w:rStyle w:val="Lienhypertexte"/>
            <w:rFonts w:ascii="Verdana" w:hAnsi="Verdana"/>
            <w:sz w:val="18"/>
            <w:szCs w:val="18"/>
            <w:lang w:val="en-GB"/>
          </w:rPr>
          <w:t>Public Assessment Report</w:t>
        </w:r>
        <w:r w:rsidR="00374983" w:rsidRPr="003B1CAC">
          <w:rPr>
            <w:rStyle w:val="Lienhypertexte"/>
            <w:rFonts w:ascii="Verdana" w:hAnsi="Verdana"/>
            <w:sz w:val="18"/>
            <w:szCs w:val="18"/>
            <w:lang w:val="en-GB"/>
          </w:rPr>
          <w:t xml:space="preserve"> (UK/H/1253/1/DC)</w:t>
        </w:r>
        <w:r w:rsidR="00231084" w:rsidRPr="003B1CAC">
          <w:rPr>
            <w:rStyle w:val="Lienhypertexte"/>
            <w:rFonts w:ascii="Verdana" w:hAnsi="Verdana"/>
            <w:sz w:val="18"/>
            <w:szCs w:val="18"/>
            <w:lang w:val="en-GB"/>
          </w:rPr>
          <w:t xml:space="preserve"> for Paracetamol Acco</w:t>
        </w:r>
        <w:r w:rsidR="00374983" w:rsidRPr="003B1CAC">
          <w:rPr>
            <w:rStyle w:val="Lienhypertexte"/>
            <w:rFonts w:ascii="Verdana" w:hAnsi="Verdana"/>
            <w:sz w:val="18"/>
            <w:szCs w:val="18"/>
            <w:lang w:val="en-GB"/>
          </w:rPr>
          <w:t>rd 500 mg</w:t>
        </w:r>
        <w:r w:rsidR="00546EA4" w:rsidRPr="003B1CAC">
          <w:rPr>
            <w:rStyle w:val="Lienhypertexte"/>
            <w:rFonts w:ascii="Verdana" w:hAnsi="Verdana"/>
            <w:sz w:val="18"/>
            <w:szCs w:val="18"/>
            <w:lang w:val="en-GB"/>
          </w:rPr>
          <w:t xml:space="preserve"> </w:t>
        </w:r>
        <w:r w:rsidR="00374983" w:rsidRPr="003B1CAC">
          <w:rPr>
            <w:rStyle w:val="Lienhypertexte"/>
            <w:rFonts w:ascii="Verdana" w:hAnsi="Verdana"/>
            <w:sz w:val="18"/>
            <w:szCs w:val="18"/>
            <w:lang w:val="en-GB"/>
          </w:rPr>
          <w:t>Effervescent t</w:t>
        </w:r>
        <w:r w:rsidR="00231084" w:rsidRPr="003B1CAC">
          <w:rPr>
            <w:rStyle w:val="Lienhypertexte"/>
            <w:rFonts w:ascii="Verdana" w:hAnsi="Verdana"/>
            <w:sz w:val="18"/>
            <w:szCs w:val="18"/>
            <w:lang w:val="en-GB"/>
          </w:rPr>
          <w:t>ablets</w:t>
        </w:r>
      </w:hyperlink>
    </w:p>
    <w:p w14:paraId="6D6D5793" w14:textId="77777777" w:rsidR="002F4446" w:rsidRPr="003B1CAC" w:rsidRDefault="00510EA1" w:rsidP="002B30E8">
      <w:pPr>
        <w:numPr>
          <w:ilvl w:val="0"/>
          <w:numId w:val="7"/>
        </w:numPr>
        <w:rPr>
          <w:rFonts w:ascii="Verdana" w:hAnsi="Verdana" w:cs="Arial"/>
          <w:sz w:val="18"/>
          <w:szCs w:val="18"/>
          <w:lang w:val="nl-BE"/>
        </w:rPr>
      </w:pPr>
      <w:proofErr w:type="spellStart"/>
      <w:r w:rsidRPr="003B1CAC">
        <w:rPr>
          <w:rFonts w:ascii="Verdana" w:hAnsi="Verdana" w:cs="Arial"/>
          <w:sz w:val="18"/>
          <w:szCs w:val="18"/>
          <w:lang w:val="en-GB"/>
        </w:rPr>
        <w:t>Claridge</w:t>
      </w:r>
      <w:proofErr w:type="spellEnd"/>
      <w:r w:rsidRPr="003B1CAC">
        <w:rPr>
          <w:rFonts w:ascii="Verdana" w:hAnsi="Verdana" w:cs="Arial"/>
          <w:sz w:val="18"/>
          <w:szCs w:val="18"/>
          <w:lang w:val="en-GB"/>
        </w:rPr>
        <w:t xml:space="preserve"> LC, </w:t>
      </w:r>
      <w:proofErr w:type="spellStart"/>
      <w:r w:rsidRPr="003B1CAC">
        <w:rPr>
          <w:rFonts w:ascii="Verdana" w:hAnsi="Verdana" w:cs="Arial"/>
          <w:sz w:val="18"/>
          <w:szCs w:val="18"/>
          <w:lang w:val="en-GB"/>
        </w:rPr>
        <w:t>Eksteen</w:t>
      </w:r>
      <w:proofErr w:type="spellEnd"/>
      <w:r w:rsidRPr="003B1CAC">
        <w:rPr>
          <w:rFonts w:ascii="Verdana" w:hAnsi="Verdana" w:cs="Arial"/>
          <w:sz w:val="18"/>
          <w:szCs w:val="18"/>
          <w:lang w:val="en-GB"/>
        </w:rPr>
        <w:t xml:space="preserve"> B, Smith A, Shah T, Holt AP. Acute liver failure after administration of paracetamol at the maximum recommended daily dose in adults. </w:t>
      </w:r>
      <w:r w:rsidRPr="003B1CAC">
        <w:rPr>
          <w:rFonts w:ascii="Verdana" w:hAnsi="Verdana" w:cs="Arial"/>
          <w:sz w:val="18"/>
          <w:szCs w:val="18"/>
          <w:lang w:val="nl-BE"/>
        </w:rPr>
        <w:t>BMJ. 2010 Dec 2;341</w:t>
      </w:r>
    </w:p>
    <w:p w14:paraId="16C582D7" w14:textId="4CDA81C9" w:rsidR="002F4446" w:rsidRPr="003B1CAC" w:rsidRDefault="002F4446" w:rsidP="002B30E8">
      <w:pPr>
        <w:numPr>
          <w:ilvl w:val="0"/>
          <w:numId w:val="7"/>
        </w:numPr>
        <w:rPr>
          <w:rFonts w:ascii="Verdana" w:hAnsi="Verdana" w:cs="Arial"/>
          <w:sz w:val="18"/>
          <w:szCs w:val="18"/>
          <w:lang w:val="en-GB"/>
        </w:rPr>
      </w:pPr>
      <w:r w:rsidRPr="003B1CAC">
        <w:rPr>
          <w:rFonts w:ascii="Verdana" w:hAnsi="Verdana" w:cs="Arial"/>
          <w:sz w:val="18"/>
          <w:szCs w:val="18"/>
          <w:lang w:val="en-GB" w:eastAsia="en-US"/>
        </w:rPr>
        <w:t>"</w:t>
      </w:r>
      <w:proofErr w:type="spellStart"/>
      <w:r w:rsidRPr="003B1CAC">
        <w:rPr>
          <w:rFonts w:ascii="Verdana" w:hAnsi="Verdana" w:cs="Arial"/>
          <w:sz w:val="18"/>
          <w:szCs w:val="18"/>
          <w:lang w:val="en-GB" w:eastAsia="en-US"/>
        </w:rPr>
        <w:t>Stockley's</w:t>
      </w:r>
      <w:proofErr w:type="spellEnd"/>
      <w:r w:rsidRPr="003B1CAC">
        <w:rPr>
          <w:rFonts w:ascii="Verdana" w:hAnsi="Verdana" w:cs="Arial"/>
          <w:sz w:val="18"/>
          <w:szCs w:val="18"/>
          <w:lang w:val="en-GB" w:eastAsia="en-US"/>
        </w:rPr>
        <w:t xml:space="preserve"> Drug Interactions." Ed. Baxter K London, UK: Pharmaceutical Press, 2008</w:t>
      </w:r>
    </w:p>
    <w:p w14:paraId="32391CE4" w14:textId="6644A9A3" w:rsidR="00545489" w:rsidRPr="003B1CAC" w:rsidRDefault="00B717FC" w:rsidP="002B30E8">
      <w:pPr>
        <w:numPr>
          <w:ilvl w:val="0"/>
          <w:numId w:val="7"/>
        </w:numPr>
        <w:rPr>
          <w:rFonts w:ascii="Verdana" w:hAnsi="Verdana" w:cs="Arial"/>
          <w:sz w:val="18"/>
          <w:szCs w:val="18"/>
          <w:lang w:val="nl-BE"/>
        </w:rPr>
      </w:pPr>
      <w:hyperlink r:id="rId15" w:history="1">
        <w:r w:rsidR="00374983" w:rsidRPr="003B1CAC">
          <w:rPr>
            <w:rStyle w:val="Lienhypertexte"/>
            <w:rFonts w:ascii="Verdana" w:hAnsi="Verdana"/>
            <w:sz w:val="18"/>
            <w:szCs w:val="18"/>
            <w:lang w:val="nl-BE"/>
          </w:rPr>
          <w:t>Gecommentarieerd Geneesmiddelenrepertorium</w:t>
        </w:r>
      </w:hyperlink>
      <w:r w:rsidR="00374983" w:rsidRPr="003B1CAC">
        <w:rPr>
          <w:rFonts w:ascii="Verdana" w:hAnsi="Verdana" w:cs="Arial"/>
          <w:sz w:val="18"/>
          <w:szCs w:val="18"/>
          <w:lang w:val="nl-BE"/>
        </w:rPr>
        <w:t xml:space="preserve"> 201</w:t>
      </w:r>
      <w:r w:rsidR="00393F8D" w:rsidRPr="003B1CAC">
        <w:rPr>
          <w:rFonts w:ascii="Verdana" w:hAnsi="Verdana" w:cs="Arial"/>
          <w:sz w:val="18"/>
          <w:szCs w:val="18"/>
          <w:lang w:val="nl-BE"/>
        </w:rPr>
        <w:t>3</w:t>
      </w:r>
      <w:r w:rsidR="00545489" w:rsidRPr="003B1CAC">
        <w:rPr>
          <w:rFonts w:ascii="Verdana" w:hAnsi="Verdana" w:cs="Arial"/>
          <w:sz w:val="18"/>
          <w:szCs w:val="18"/>
          <w:lang w:val="nl-BE"/>
        </w:rPr>
        <w:t xml:space="preserve"> [last access 17 Jan 2013]</w:t>
      </w:r>
    </w:p>
    <w:p w14:paraId="541625CD" w14:textId="77777777" w:rsidR="0069406B" w:rsidRPr="003B1CAC" w:rsidRDefault="0069406B" w:rsidP="002B30E8">
      <w:pPr>
        <w:numPr>
          <w:ilvl w:val="0"/>
          <w:numId w:val="7"/>
        </w:numPr>
        <w:rPr>
          <w:rFonts w:ascii="Verdana" w:hAnsi="Verdana" w:cs="Arial"/>
          <w:sz w:val="18"/>
          <w:szCs w:val="18"/>
          <w:lang w:val="nl-BE"/>
        </w:rPr>
      </w:pPr>
      <w:proofErr w:type="spellStart"/>
      <w:r w:rsidRPr="003B1CAC">
        <w:rPr>
          <w:rFonts w:ascii="Verdana" w:hAnsi="Verdana" w:cs="Arial"/>
          <w:sz w:val="18"/>
          <w:szCs w:val="18"/>
          <w:lang w:val="nl-BE"/>
        </w:rPr>
        <w:t>Kristensen</w:t>
      </w:r>
      <w:proofErr w:type="spellEnd"/>
      <w:r w:rsidRPr="003B1CAC">
        <w:rPr>
          <w:rFonts w:ascii="Verdana" w:hAnsi="Verdana" w:cs="Arial"/>
          <w:sz w:val="18"/>
          <w:szCs w:val="18"/>
          <w:lang w:val="nl-BE"/>
        </w:rPr>
        <w:t xml:space="preserve">, D. M. et al. </w:t>
      </w:r>
      <w:r w:rsidRPr="003B1CAC">
        <w:rPr>
          <w:rFonts w:ascii="Verdana" w:hAnsi="Verdana" w:cs="Arial"/>
          <w:sz w:val="18"/>
          <w:szCs w:val="18"/>
          <w:lang w:val="en-GB"/>
        </w:rPr>
        <w:t xml:space="preserve">Intrauterine exposure to mild analgesics is a risk factor for development of male reproductive disorders in human and rat. </w:t>
      </w:r>
      <w:r w:rsidRPr="003B1CAC">
        <w:rPr>
          <w:rFonts w:ascii="Verdana" w:hAnsi="Verdana" w:cs="Arial"/>
          <w:sz w:val="18"/>
          <w:szCs w:val="18"/>
          <w:lang w:val="nl-BE"/>
        </w:rPr>
        <w:t xml:space="preserve">Hum. </w:t>
      </w:r>
      <w:proofErr w:type="spellStart"/>
      <w:r w:rsidRPr="003B1CAC">
        <w:rPr>
          <w:rFonts w:ascii="Verdana" w:hAnsi="Verdana" w:cs="Arial"/>
          <w:sz w:val="18"/>
          <w:szCs w:val="18"/>
          <w:lang w:val="nl-BE"/>
        </w:rPr>
        <w:t>Reprod</w:t>
      </w:r>
      <w:proofErr w:type="spellEnd"/>
      <w:r w:rsidRPr="003B1CAC">
        <w:rPr>
          <w:rFonts w:ascii="Verdana" w:hAnsi="Verdana" w:cs="Arial"/>
          <w:sz w:val="18"/>
          <w:szCs w:val="18"/>
          <w:lang w:val="nl-BE"/>
        </w:rPr>
        <w:t>. 26, 235–244 (2011)</w:t>
      </w:r>
    </w:p>
    <w:p w14:paraId="70B5148B" w14:textId="77777777" w:rsidR="00E909B1" w:rsidRPr="003B1CAC" w:rsidRDefault="00E909B1" w:rsidP="002B30E8">
      <w:pPr>
        <w:numPr>
          <w:ilvl w:val="0"/>
          <w:numId w:val="7"/>
        </w:numPr>
        <w:rPr>
          <w:rFonts w:ascii="Verdana" w:hAnsi="Verdana" w:cs="Arial"/>
          <w:sz w:val="18"/>
          <w:szCs w:val="18"/>
          <w:lang w:val="en-GB"/>
        </w:rPr>
      </w:pPr>
      <w:r w:rsidRPr="003B1CAC">
        <w:rPr>
          <w:rFonts w:ascii="Verdana" w:hAnsi="Verdana" w:cs="Arial"/>
          <w:sz w:val="18"/>
          <w:szCs w:val="18"/>
          <w:lang w:val="en-GB"/>
        </w:rPr>
        <w:t xml:space="preserve">Final </w:t>
      </w:r>
      <w:proofErr w:type="spellStart"/>
      <w:r w:rsidRPr="003B1CAC">
        <w:rPr>
          <w:rFonts w:ascii="Verdana" w:hAnsi="Verdana" w:cs="Arial"/>
          <w:sz w:val="18"/>
          <w:szCs w:val="18"/>
          <w:lang w:val="en-GB"/>
        </w:rPr>
        <w:t>SmPC</w:t>
      </w:r>
      <w:proofErr w:type="spellEnd"/>
      <w:r w:rsidRPr="003B1CAC">
        <w:rPr>
          <w:rFonts w:ascii="Verdana" w:hAnsi="Verdana" w:cs="Arial"/>
          <w:sz w:val="18"/>
          <w:szCs w:val="18"/>
          <w:lang w:val="en-GB"/>
        </w:rPr>
        <w:t xml:space="preserve"> for paracetamol </w:t>
      </w:r>
      <w:proofErr w:type="spellStart"/>
      <w:r w:rsidRPr="003B1CAC">
        <w:rPr>
          <w:rFonts w:ascii="Verdana" w:hAnsi="Verdana" w:cs="Arial"/>
          <w:sz w:val="18"/>
          <w:szCs w:val="18"/>
          <w:lang w:val="en-GB"/>
        </w:rPr>
        <w:t>Basi</w:t>
      </w:r>
      <w:proofErr w:type="spellEnd"/>
      <w:r w:rsidRPr="003B1CAC">
        <w:rPr>
          <w:rFonts w:ascii="Verdana" w:hAnsi="Verdana" w:cs="Arial"/>
          <w:sz w:val="18"/>
          <w:szCs w:val="18"/>
          <w:lang w:val="en-GB"/>
        </w:rPr>
        <w:t xml:space="preserve"> (PT-H-618-01-DC)</w:t>
      </w:r>
    </w:p>
    <w:p w14:paraId="6DE207FD" w14:textId="77777777" w:rsidR="0075228A" w:rsidRPr="003B1CAC" w:rsidRDefault="0075228A" w:rsidP="002B30E8">
      <w:pPr>
        <w:numPr>
          <w:ilvl w:val="0"/>
          <w:numId w:val="7"/>
        </w:numPr>
        <w:rPr>
          <w:rFonts w:ascii="Verdana" w:hAnsi="Verdana" w:cs="Arial"/>
          <w:sz w:val="18"/>
          <w:szCs w:val="18"/>
          <w:lang w:val="en-GB"/>
        </w:rPr>
      </w:pPr>
      <w:r w:rsidRPr="003B1CAC">
        <w:rPr>
          <w:rFonts w:ascii="Verdana" w:hAnsi="Verdana" w:cs="Arial"/>
          <w:sz w:val="18"/>
          <w:szCs w:val="18"/>
          <w:lang w:val="en-GB"/>
        </w:rPr>
        <w:t xml:space="preserve">Micromedex </w:t>
      </w:r>
      <w:r w:rsidR="002B0E30" w:rsidRPr="003B1CAC">
        <w:rPr>
          <w:rFonts w:ascii="Verdana" w:hAnsi="Verdana" w:cs="Arial"/>
          <w:sz w:val="18"/>
          <w:szCs w:val="18"/>
          <w:lang w:val="en-GB"/>
        </w:rPr>
        <w:t xml:space="preserve">2.0 </w:t>
      </w:r>
      <w:r w:rsidRPr="003B1CAC">
        <w:rPr>
          <w:rFonts w:ascii="Verdana" w:hAnsi="Verdana" w:cs="Arial"/>
          <w:sz w:val="18"/>
          <w:szCs w:val="18"/>
          <w:lang w:val="en-GB"/>
        </w:rPr>
        <w:t xml:space="preserve">online drug reference (last </w:t>
      </w:r>
      <w:r w:rsidR="001508EF" w:rsidRPr="003B1CAC">
        <w:rPr>
          <w:rFonts w:ascii="Verdana" w:hAnsi="Verdana" w:cs="Arial"/>
          <w:sz w:val="18"/>
          <w:szCs w:val="18"/>
          <w:lang w:val="en-GB"/>
        </w:rPr>
        <w:t>access 17</w:t>
      </w:r>
      <w:r w:rsidRPr="003B1CAC">
        <w:rPr>
          <w:rFonts w:ascii="Verdana" w:hAnsi="Verdana" w:cs="Arial"/>
          <w:sz w:val="18"/>
          <w:szCs w:val="18"/>
          <w:lang w:val="en-GB"/>
        </w:rPr>
        <w:t xml:space="preserve"> Jan 2013)</w:t>
      </w:r>
    </w:p>
    <w:p w14:paraId="1359598B" w14:textId="77777777" w:rsidR="0099009F" w:rsidRPr="003B1CAC" w:rsidRDefault="001508EF" w:rsidP="002B30E8">
      <w:pPr>
        <w:numPr>
          <w:ilvl w:val="0"/>
          <w:numId w:val="7"/>
        </w:numPr>
        <w:rPr>
          <w:rFonts w:ascii="Verdana" w:hAnsi="Verdana" w:cs="Arial"/>
          <w:sz w:val="18"/>
          <w:szCs w:val="18"/>
          <w:lang w:val="en-GB"/>
        </w:rPr>
      </w:pPr>
      <w:proofErr w:type="spellStart"/>
      <w:r w:rsidRPr="003B1CAC">
        <w:rPr>
          <w:rFonts w:ascii="Verdana" w:hAnsi="Verdana" w:cs="Arial"/>
          <w:sz w:val="18"/>
          <w:szCs w:val="18"/>
          <w:lang w:val="en-GB"/>
        </w:rPr>
        <w:t>Farmacotherapeutisch</w:t>
      </w:r>
      <w:proofErr w:type="spellEnd"/>
      <w:r w:rsidRPr="003B1CAC">
        <w:rPr>
          <w:rFonts w:ascii="Verdana" w:hAnsi="Verdana" w:cs="Arial"/>
          <w:sz w:val="18"/>
          <w:szCs w:val="18"/>
          <w:lang w:val="en-GB"/>
        </w:rPr>
        <w:t xml:space="preserve"> </w:t>
      </w:r>
      <w:proofErr w:type="spellStart"/>
      <w:r w:rsidRPr="003B1CAC">
        <w:rPr>
          <w:rFonts w:ascii="Verdana" w:hAnsi="Verdana" w:cs="Arial"/>
          <w:sz w:val="18"/>
          <w:szCs w:val="18"/>
          <w:lang w:val="en-GB"/>
        </w:rPr>
        <w:t>Kompas</w:t>
      </w:r>
      <w:proofErr w:type="spellEnd"/>
      <w:r w:rsidRPr="003B1CAC">
        <w:rPr>
          <w:rFonts w:ascii="Verdana" w:hAnsi="Verdana" w:cs="Arial"/>
          <w:sz w:val="18"/>
          <w:szCs w:val="18"/>
          <w:lang w:val="en-GB"/>
        </w:rPr>
        <w:t xml:space="preserve"> </w:t>
      </w:r>
      <w:r w:rsidR="0005411B" w:rsidRPr="003B1CAC">
        <w:rPr>
          <w:rFonts w:ascii="Verdana" w:hAnsi="Verdana" w:cs="Arial"/>
          <w:sz w:val="18"/>
          <w:szCs w:val="18"/>
          <w:lang w:val="en-GB"/>
        </w:rPr>
        <w:t xml:space="preserve">[Available from: </w:t>
      </w:r>
      <w:hyperlink r:id="rId16" w:history="1">
        <w:r w:rsidR="006258CD" w:rsidRPr="003B1CAC">
          <w:rPr>
            <w:rStyle w:val="Lienhypertexte"/>
            <w:rFonts w:ascii="Verdana" w:hAnsi="Verdana" w:cs="Arial"/>
            <w:sz w:val="18"/>
            <w:szCs w:val="18"/>
            <w:lang w:val="en-GB"/>
          </w:rPr>
          <w:t>https://www.farmacotherapeutischkompas.nl/</w:t>
        </w:r>
      </w:hyperlink>
      <w:r w:rsidR="0005411B" w:rsidRPr="003B1CAC">
        <w:rPr>
          <w:rFonts w:ascii="Verdana" w:hAnsi="Verdana" w:cs="Arial"/>
          <w:sz w:val="18"/>
          <w:szCs w:val="18"/>
          <w:lang w:val="en-GB"/>
        </w:rPr>
        <w:t xml:space="preserve">, </w:t>
      </w:r>
      <w:r w:rsidRPr="003B1CAC">
        <w:rPr>
          <w:rFonts w:ascii="Verdana" w:hAnsi="Verdana" w:cs="Arial"/>
          <w:sz w:val="18"/>
          <w:szCs w:val="18"/>
          <w:lang w:val="en-GB"/>
        </w:rPr>
        <w:t>last access 17 Jan 2013</w:t>
      </w:r>
      <w:r w:rsidR="0005411B" w:rsidRPr="003B1CAC">
        <w:rPr>
          <w:rFonts w:ascii="Verdana" w:hAnsi="Verdana" w:cs="Arial"/>
          <w:sz w:val="18"/>
          <w:szCs w:val="18"/>
          <w:lang w:val="en-GB"/>
        </w:rPr>
        <w:t>]</w:t>
      </w:r>
    </w:p>
    <w:p w14:paraId="65CCDADF" w14:textId="18CACD78" w:rsidR="00490F14" w:rsidRPr="003B1CAC" w:rsidRDefault="00B717FC" w:rsidP="002B30E8">
      <w:pPr>
        <w:numPr>
          <w:ilvl w:val="0"/>
          <w:numId w:val="7"/>
        </w:numPr>
        <w:rPr>
          <w:rFonts w:ascii="Verdana" w:hAnsi="Verdana" w:cs="Arial"/>
          <w:sz w:val="18"/>
          <w:szCs w:val="18"/>
          <w:lang w:val="en-GB"/>
        </w:rPr>
      </w:pPr>
      <w:hyperlink r:id="rId17" w:history="1">
        <w:r w:rsidR="0099009F" w:rsidRPr="003B1CAC">
          <w:rPr>
            <w:rStyle w:val="Lienhypertexte"/>
            <w:rFonts w:ascii="Verdana" w:hAnsi="Verdana"/>
            <w:sz w:val="18"/>
            <w:szCs w:val="18"/>
            <w:lang w:val="en-GB"/>
          </w:rPr>
          <w:t xml:space="preserve">PRAC </w:t>
        </w:r>
        <w:proofErr w:type="spellStart"/>
        <w:r w:rsidR="0099009F" w:rsidRPr="003B1CAC">
          <w:rPr>
            <w:rStyle w:val="Lienhypertexte"/>
            <w:rFonts w:ascii="Verdana" w:hAnsi="Verdana"/>
            <w:sz w:val="18"/>
            <w:szCs w:val="18"/>
            <w:lang w:val="en-GB"/>
          </w:rPr>
          <w:t>aanbeveling</w:t>
        </w:r>
        <w:proofErr w:type="spellEnd"/>
        <w:r w:rsidR="0099009F" w:rsidRPr="003B1CAC">
          <w:rPr>
            <w:rStyle w:val="Lienhypertexte"/>
            <w:rFonts w:ascii="Verdana" w:hAnsi="Verdana"/>
            <w:sz w:val="18"/>
            <w:szCs w:val="18"/>
            <w:lang w:val="en-GB"/>
          </w:rPr>
          <w:t xml:space="preserve"> </w:t>
        </w:r>
        <w:proofErr w:type="spellStart"/>
        <w:r w:rsidR="0099009F" w:rsidRPr="003B1CAC">
          <w:rPr>
            <w:rStyle w:val="Lienhypertexte"/>
            <w:rFonts w:ascii="Verdana" w:hAnsi="Verdana"/>
            <w:sz w:val="18"/>
            <w:szCs w:val="18"/>
            <w:lang w:val="en-GB"/>
          </w:rPr>
          <w:t>voor</w:t>
        </w:r>
        <w:proofErr w:type="spellEnd"/>
        <w:r w:rsidR="0099009F" w:rsidRPr="003B1CAC">
          <w:rPr>
            <w:rStyle w:val="Lienhypertexte"/>
            <w:rFonts w:ascii="Verdana" w:hAnsi="Verdana"/>
            <w:sz w:val="18"/>
            <w:szCs w:val="18"/>
            <w:lang w:val="en-GB"/>
          </w:rPr>
          <w:t xml:space="preserve"> het </w:t>
        </w:r>
        <w:proofErr w:type="spellStart"/>
        <w:r w:rsidR="0099009F" w:rsidRPr="003B1CAC">
          <w:rPr>
            <w:rStyle w:val="Lienhypertexte"/>
            <w:rFonts w:ascii="Verdana" w:hAnsi="Verdana"/>
            <w:sz w:val="18"/>
            <w:szCs w:val="18"/>
            <w:lang w:val="en-GB"/>
          </w:rPr>
          <w:t>signaal</w:t>
        </w:r>
        <w:proofErr w:type="spellEnd"/>
        <w:r w:rsidR="0099009F" w:rsidRPr="003B1CAC">
          <w:rPr>
            <w:rStyle w:val="Lienhypertexte"/>
            <w:rFonts w:ascii="Verdana" w:hAnsi="Verdana"/>
            <w:sz w:val="18"/>
            <w:szCs w:val="18"/>
            <w:lang w:val="en-GB"/>
          </w:rPr>
          <w:t xml:space="preserve"> </w:t>
        </w:r>
        <w:r w:rsidR="00142DDB" w:rsidRPr="003B1CAC">
          <w:rPr>
            <w:rStyle w:val="Lienhypertexte"/>
            <w:rFonts w:ascii="Verdana" w:hAnsi="Verdana" w:cs="Arial"/>
            <w:sz w:val="18"/>
            <w:szCs w:val="18"/>
            <w:lang w:val="en-GB"/>
          </w:rPr>
          <w:t>“</w:t>
        </w:r>
        <w:r w:rsidR="0099009F" w:rsidRPr="003B1CAC">
          <w:rPr>
            <w:rStyle w:val="Lienhypertexte"/>
            <w:rFonts w:ascii="Verdana" w:hAnsi="Verdana"/>
            <w:sz w:val="18"/>
            <w:szCs w:val="18"/>
            <w:lang w:val="en-GB"/>
          </w:rPr>
          <w:t xml:space="preserve">Paracetamol - Drug-induced Stevens-Johnson syndrome (SJS), toxic epidermal necrolysis (TEN), and acute generalised </w:t>
        </w:r>
        <w:proofErr w:type="spellStart"/>
        <w:r w:rsidR="0099009F" w:rsidRPr="003B1CAC">
          <w:rPr>
            <w:rStyle w:val="Lienhypertexte"/>
            <w:rFonts w:ascii="Verdana" w:hAnsi="Verdana"/>
            <w:sz w:val="18"/>
            <w:szCs w:val="18"/>
            <w:lang w:val="en-GB"/>
          </w:rPr>
          <w:t>exanthematous</w:t>
        </w:r>
        <w:proofErr w:type="spellEnd"/>
        <w:r w:rsidR="0099009F" w:rsidRPr="003B1CAC">
          <w:rPr>
            <w:rStyle w:val="Lienhypertexte"/>
            <w:rFonts w:ascii="Verdana" w:hAnsi="Verdana"/>
            <w:sz w:val="18"/>
            <w:szCs w:val="18"/>
            <w:lang w:val="en-GB"/>
          </w:rPr>
          <w:t xml:space="preserve"> </w:t>
        </w:r>
        <w:proofErr w:type="spellStart"/>
        <w:r w:rsidR="0099009F" w:rsidRPr="003B1CAC">
          <w:rPr>
            <w:rStyle w:val="Lienhypertexte"/>
            <w:rFonts w:ascii="Verdana" w:hAnsi="Verdana"/>
            <w:sz w:val="18"/>
            <w:szCs w:val="18"/>
            <w:lang w:val="en-GB"/>
          </w:rPr>
          <w:t>pustulosis</w:t>
        </w:r>
        <w:proofErr w:type="spellEnd"/>
        <w:r w:rsidR="0099009F" w:rsidRPr="003B1CAC">
          <w:rPr>
            <w:rStyle w:val="Lienhypertexte"/>
            <w:rFonts w:ascii="Verdana" w:hAnsi="Verdana"/>
            <w:sz w:val="18"/>
            <w:szCs w:val="18"/>
            <w:lang w:val="en-GB"/>
          </w:rPr>
          <w:t xml:space="preserve"> (AGEP)</w:t>
        </w:r>
      </w:hyperlink>
      <w:r w:rsidR="00142DDB" w:rsidRPr="003B1CAC">
        <w:rPr>
          <w:rFonts w:ascii="Verdana" w:hAnsi="Verdana" w:cs="Arial"/>
          <w:sz w:val="18"/>
          <w:szCs w:val="18"/>
          <w:lang w:val="en-GB"/>
        </w:rPr>
        <w:t>”</w:t>
      </w:r>
      <w:r w:rsidR="0099009F" w:rsidRPr="003B1CAC">
        <w:rPr>
          <w:rFonts w:ascii="Verdana" w:hAnsi="Verdana" w:cs="Arial"/>
          <w:sz w:val="18"/>
          <w:szCs w:val="18"/>
          <w:lang w:val="en-GB"/>
        </w:rPr>
        <w:t xml:space="preserve"> (Ref.: EMA/PRAC/65788/2014, 24 </w:t>
      </w:r>
      <w:proofErr w:type="spellStart"/>
      <w:r w:rsidR="0099009F" w:rsidRPr="003B1CAC">
        <w:rPr>
          <w:rFonts w:ascii="Verdana" w:hAnsi="Verdana" w:cs="Arial"/>
          <w:sz w:val="18"/>
          <w:szCs w:val="18"/>
          <w:lang w:val="en-GB"/>
        </w:rPr>
        <w:t>februari</w:t>
      </w:r>
      <w:proofErr w:type="spellEnd"/>
      <w:r w:rsidR="0099009F" w:rsidRPr="003B1CAC">
        <w:rPr>
          <w:rFonts w:ascii="Verdana" w:hAnsi="Verdana" w:cs="Arial"/>
          <w:sz w:val="18"/>
          <w:szCs w:val="18"/>
          <w:lang w:val="en-GB"/>
        </w:rPr>
        <w:t xml:space="preserve"> 2014)</w:t>
      </w:r>
      <w:r w:rsidR="0005411B" w:rsidRPr="003B1CAC">
        <w:rPr>
          <w:rFonts w:ascii="Verdana" w:hAnsi="Verdana" w:cs="Arial"/>
          <w:sz w:val="18"/>
          <w:szCs w:val="18"/>
          <w:lang w:val="en-GB"/>
        </w:rPr>
        <w:t xml:space="preserve"> </w:t>
      </w:r>
    </w:p>
    <w:p w14:paraId="3A9B15DC" w14:textId="77777777" w:rsidR="00FB17D5" w:rsidRPr="003B1CAC" w:rsidRDefault="00B717FC" w:rsidP="002B30E8">
      <w:pPr>
        <w:numPr>
          <w:ilvl w:val="0"/>
          <w:numId w:val="7"/>
        </w:numPr>
        <w:rPr>
          <w:rFonts w:ascii="Verdana" w:hAnsi="Verdana" w:cs="Arial"/>
          <w:sz w:val="18"/>
          <w:szCs w:val="18"/>
          <w:lang w:val="nl-BE"/>
        </w:rPr>
      </w:pPr>
      <w:hyperlink r:id="rId18" w:history="1">
        <w:r w:rsidR="00FB17D5" w:rsidRPr="003B1CAC">
          <w:rPr>
            <w:rStyle w:val="Lienhypertexte"/>
            <w:rFonts w:ascii="Verdana" w:hAnsi="Verdana" w:cs="Arial"/>
            <w:sz w:val="18"/>
            <w:szCs w:val="18"/>
            <w:lang w:val="nl-BE"/>
          </w:rPr>
          <w:t>PRAC aanbeveling van september 2017 over het gelijktijdig gebruik van flucloxacilline met paracetamol en het risico van hoge anion gap metabole acidose</w:t>
        </w:r>
      </w:hyperlink>
      <w:r w:rsidR="00FB17D5" w:rsidRPr="003B1CAC">
        <w:rPr>
          <w:rFonts w:ascii="Verdana" w:hAnsi="Verdana" w:cs="Arial"/>
          <w:sz w:val="18"/>
          <w:szCs w:val="18"/>
          <w:lang w:val="nl-BE"/>
        </w:rPr>
        <w:t xml:space="preserve"> (Ref. EMA/PRAC/610975/2017, 12 </w:t>
      </w:r>
      <w:proofErr w:type="spellStart"/>
      <w:r w:rsidR="00FB17D5" w:rsidRPr="003B1CAC">
        <w:rPr>
          <w:rFonts w:ascii="Verdana" w:hAnsi="Verdana" w:cs="Arial"/>
          <w:sz w:val="18"/>
          <w:szCs w:val="18"/>
          <w:lang w:val="nl-BE"/>
        </w:rPr>
        <w:t>October</w:t>
      </w:r>
      <w:proofErr w:type="spellEnd"/>
      <w:r w:rsidR="00FB17D5" w:rsidRPr="003B1CAC">
        <w:rPr>
          <w:rFonts w:ascii="Verdana" w:hAnsi="Verdana" w:cs="Arial"/>
          <w:sz w:val="18"/>
          <w:szCs w:val="18"/>
          <w:lang w:val="nl-BE"/>
        </w:rPr>
        <w:t xml:space="preserve"> 2017)</w:t>
      </w:r>
    </w:p>
    <w:p w14:paraId="7BA07C08" w14:textId="6904C34F" w:rsidR="00557E27" w:rsidRPr="003B1CAC" w:rsidRDefault="00B717FC" w:rsidP="002B30E8">
      <w:pPr>
        <w:numPr>
          <w:ilvl w:val="0"/>
          <w:numId w:val="7"/>
        </w:numPr>
        <w:rPr>
          <w:rFonts w:ascii="Verdana" w:hAnsi="Verdana" w:cs="Arial"/>
          <w:sz w:val="18"/>
          <w:szCs w:val="18"/>
          <w:lang w:val="nl-BE"/>
        </w:rPr>
      </w:pPr>
      <w:hyperlink r:id="rId19" w:history="1">
        <w:r w:rsidR="00B74078" w:rsidRPr="003B1CAC">
          <w:rPr>
            <w:rStyle w:val="Lienhypertexte"/>
            <w:rFonts w:ascii="Verdana" w:hAnsi="Verdana" w:cs="Arial"/>
            <w:sz w:val="18"/>
            <w:szCs w:val="18"/>
            <w:lang w:val="nl-BE"/>
          </w:rPr>
          <w:t>PRAC aanbeveling van maart 2019 over het gebruik van paracetamol tijdens de zwangerschap en de invloed op de neurologische ontwikkeling van het kind en op het urogenitale stelsel</w:t>
        </w:r>
      </w:hyperlink>
      <w:r w:rsidR="00B74078" w:rsidRPr="003B1CAC">
        <w:rPr>
          <w:rFonts w:ascii="Verdana" w:hAnsi="Verdana" w:cs="Arial"/>
          <w:sz w:val="18"/>
          <w:szCs w:val="18"/>
          <w:lang w:val="nl-BE"/>
        </w:rPr>
        <w:t xml:space="preserve"> (Ref. EMA/PRAC/157165/2019, 8 April 2019)</w:t>
      </w:r>
    </w:p>
    <w:sectPr w:rsidR="00557E27" w:rsidRPr="003B1CAC" w:rsidSect="002B30E8">
      <w:footerReference w:type="default" r:id="rId20"/>
      <w:footerReference w:type="first" r:id="rId21"/>
      <w:footnotePr>
        <w:numFmt w:val="lowerLetter"/>
      </w:footnotePr>
      <w:endnotePr>
        <w:numFmt w:val="decimal"/>
        <w:numStart w:val="2"/>
      </w:endnotePr>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389C9" w14:textId="77777777" w:rsidR="00D07CE4" w:rsidRDefault="00D07CE4">
      <w:r>
        <w:separator/>
      </w:r>
    </w:p>
  </w:endnote>
  <w:endnote w:type="continuationSeparator" w:id="0">
    <w:p w14:paraId="3C1220BF" w14:textId="77777777" w:rsidR="00D07CE4" w:rsidRDefault="00D0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58053" w14:textId="77777777" w:rsidR="002F61A0" w:rsidRPr="005049D4" w:rsidRDefault="002F61A0">
    <w:pPr>
      <w:pStyle w:val="Pieddepage"/>
      <w:rPr>
        <w:rFonts w:ascii="Verdana" w:hAnsi="Verdana"/>
        <w:sz w:val="16"/>
        <w:szCs w:val="16"/>
      </w:rPr>
    </w:pPr>
    <w:r w:rsidRPr="005049D4">
      <w:rPr>
        <w:rFonts w:ascii="Verdana" w:hAnsi="Verdana"/>
        <w:sz w:val="16"/>
        <w:szCs w:val="16"/>
      </w:rPr>
      <w:t>Versie 1.2</w:t>
    </w:r>
    <w:r w:rsidRPr="005049D4">
      <w:rPr>
        <w:rFonts w:ascii="Verdana" w:hAnsi="Verdana"/>
        <w:sz w:val="16"/>
        <w:szCs w:val="16"/>
      </w:rPr>
      <w:ptab w:relativeTo="margin" w:alignment="center" w:leader="none"/>
    </w:r>
    <w:r w:rsidRPr="005049D4">
      <w:rPr>
        <w:rFonts w:ascii="Verdana" w:hAnsi="Verdana"/>
        <w:sz w:val="16"/>
        <w:szCs w:val="16"/>
      </w:rPr>
      <w:t>25-9-2019</w:t>
    </w:r>
    <w:r w:rsidRPr="005049D4">
      <w:rPr>
        <w:rFonts w:ascii="Verdana" w:hAnsi="Verdana"/>
        <w:sz w:val="16"/>
        <w:szCs w:val="16"/>
      </w:rPr>
      <w:ptab w:relativeTo="margin" w:alignment="right" w:leader="none"/>
    </w:r>
    <w:r w:rsidRPr="005049D4">
      <w:rPr>
        <w:rFonts w:ascii="Verdana" w:hAnsi="Verdana"/>
        <w:sz w:val="16"/>
        <w:szCs w:val="16"/>
      </w:rPr>
      <w:t xml:space="preserve">Pagina </w:t>
    </w:r>
    <w:r w:rsidRPr="005049D4">
      <w:rPr>
        <w:rFonts w:ascii="Verdana" w:hAnsi="Verdana"/>
        <w:b/>
        <w:bCs/>
        <w:sz w:val="16"/>
        <w:szCs w:val="16"/>
      </w:rPr>
      <w:fldChar w:fldCharType="begin"/>
    </w:r>
    <w:r w:rsidRPr="005049D4">
      <w:rPr>
        <w:rFonts w:ascii="Verdana" w:hAnsi="Verdana"/>
        <w:b/>
        <w:bCs/>
        <w:sz w:val="16"/>
        <w:szCs w:val="16"/>
      </w:rPr>
      <w:instrText>PAGE  \* Arabic  \* MERGEFORMAT</w:instrText>
    </w:r>
    <w:r w:rsidRPr="005049D4">
      <w:rPr>
        <w:rFonts w:ascii="Verdana" w:hAnsi="Verdana"/>
        <w:b/>
        <w:bCs/>
        <w:sz w:val="16"/>
        <w:szCs w:val="16"/>
      </w:rPr>
      <w:fldChar w:fldCharType="separate"/>
    </w:r>
    <w:r w:rsidR="00B717FC">
      <w:rPr>
        <w:rFonts w:ascii="Verdana" w:hAnsi="Verdana"/>
        <w:b/>
        <w:bCs/>
        <w:noProof/>
        <w:sz w:val="16"/>
        <w:szCs w:val="16"/>
      </w:rPr>
      <w:t>7</w:t>
    </w:r>
    <w:r w:rsidRPr="005049D4">
      <w:rPr>
        <w:rFonts w:ascii="Verdana" w:hAnsi="Verdana"/>
        <w:b/>
        <w:bCs/>
        <w:sz w:val="16"/>
        <w:szCs w:val="16"/>
      </w:rPr>
      <w:fldChar w:fldCharType="end"/>
    </w:r>
    <w:r w:rsidRPr="005049D4">
      <w:rPr>
        <w:rFonts w:ascii="Verdana" w:hAnsi="Verdana"/>
        <w:sz w:val="16"/>
        <w:szCs w:val="16"/>
      </w:rPr>
      <w:t xml:space="preserve"> van </w:t>
    </w:r>
    <w:r w:rsidRPr="005049D4">
      <w:rPr>
        <w:rFonts w:ascii="Verdana" w:hAnsi="Verdana"/>
        <w:b/>
        <w:bCs/>
        <w:sz w:val="16"/>
        <w:szCs w:val="16"/>
      </w:rPr>
      <w:fldChar w:fldCharType="begin"/>
    </w:r>
    <w:r w:rsidRPr="005049D4">
      <w:rPr>
        <w:rFonts w:ascii="Verdana" w:hAnsi="Verdana"/>
        <w:b/>
        <w:bCs/>
        <w:sz w:val="16"/>
        <w:szCs w:val="16"/>
      </w:rPr>
      <w:instrText>NUMPAGES  \* Arabic  \* MERGEFORMAT</w:instrText>
    </w:r>
    <w:r w:rsidRPr="005049D4">
      <w:rPr>
        <w:rFonts w:ascii="Verdana" w:hAnsi="Verdana"/>
        <w:b/>
        <w:bCs/>
        <w:sz w:val="16"/>
        <w:szCs w:val="16"/>
      </w:rPr>
      <w:fldChar w:fldCharType="separate"/>
    </w:r>
    <w:r w:rsidR="00B717FC">
      <w:rPr>
        <w:rFonts w:ascii="Verdana" w:hAnsi="Verdana"/>
        <w:b/>
        <w:bCs/>
        <w:noProof/>
        <w:sz w:val="16"/>
        <w:szCs w:val="16"/>
      </w:rPr>
      <w:t>7</w:t>
    </w:r>
    <w:r w:rsidRPr="005049D4">
      <w:rPr>
        <w:rFonts w:ascii="Verdana" w:hAnsi="Verdana"/>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B08D" w14:textId="5E0055BC" w:rsidR="00E5039E" w:rsidRDefault="00E5039E" w:rsidP="00E5039E">
    <w:pPr>
      <w:pStyle w:val="Pieddepage"/>
      <w:jc w:val="center"/>
      <w:rPr>
        <w:rFonts w:ascii="Verdana" w:hAnsi="Verdana" w:cstheme="minorHAnsi"/>
        <w:sz w:val="16"/>
        <w:szCs w:val="16"/>
        <w:lang w:val="nl-BE"/>
      </w:rPr>
    </w:pPr>
    <w:r>
      <w:rPr>
        <w:noProof/>
        <w:lang w:val="fr-BE" w:eastAsia="fr-BE"/>
      </w:rPr>
      <w:drawing>
        <wp:anchor distT="0" distB="0" distL="114300" distR="114300" simplePos="0" relativeHeight="251659264" behindDoc="1" locked="0" layoutInCell="1" allowOverlap="1" wp14:anchorId="1555E2D0" wp14:editId="2AEBBA6E">
          <wp:simplePos x="0" y="0"/>
          <wp:positionH relativeFrom="column">
            <wp:posOffset>5990590</wp:posOffset>
          </wp:positionH>
          <wp:positionV relativeFrom="paragraph">
            <wp:posOffset>111488</wp:posOffset>
          </wp:positionV>
          <wp:extent cx="337820" cy="250190"/>
          <wp:effectExtent l="0" t="0" r="508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820" cy="25019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240" behindDoc="1" locked="0" layoutInCell="1" allowOverlap="1" wp14:anchorId="44ADE711" wp14:editId="42F99286">
          <wp:simplePos x="0" y="0"/>
          <wp:positionH relativeFrom="column">
            <wp:posOffset>-175260</wp:posOffset>
          </wp:positionH>
          <wp:positionV relativeFrom="paragraph">
            <wp:posOffset>78831</wp:posOffset>
          </wp:positionV>
          <wp:extent cx="255600" cy="360000"/>
          <wp:effectExtent l="0" t="0" r="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mbo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5600" cy="360000"/>
                  </a:xfrm>
                  <a:prstGeom prst="rect">
                    <a:avLst/>
                  </a:prstGeom>
                </pic:spPr>
              </pic:pic>
            </a:graphicData>
          </a:graphic>
          <wp14:sizeRelH relativeFrom="page">
            <wp14:pctWidth>0</wp14:pctWidth>
          </wp14:sizeRelH>
          <wp14:sizeRelV relativeFrom="page">
            <wp14:pctHeight>0</wp14:pctHeight>
          </wp14:sizeRelV>
        </wp:anchor>
      </w:drawing>
    </w:r>
  </w:p>
  <w:p w14:paraId="0ABCC018" w14:textId="0982122F" w:rsidR="00E5039E" w:rsidRDefault="00E5039E" w:rsidP="00E5039E">
    <w:pPr>
      <w:pStyle w:val="Pieddepage"/>
      <w:jc w:val="center"/>
      <w:rPr>
        <w:rFonts w:ascii="Verdana" w:hAnsi="Verdana" w:cstheme="minorHAnsi"/>
        <w:sz w:val="16"/>
        <w:szCs w:val="16"/>
        <w:lang w:val="nl-BE"/>
      </w:rPr>
    </w:pPr>
  </w:p>
  <w:p w14:paraId="469FF35E" w14:textId="1B19158C" w:rsidR="002F61A0" w:rsidRPr="00142DDB" w:rsidRDefault="002F61A0" w:rsidP="00E5039E">
    <w:pPr>
      <w:pStyle w:val="Pieddepage"/>
      <w:jc w:val="center"/>
      <w:rPr>
        <w:rFonts w:ascii="Verdana" w:hAnsi="Verdana"/>
        <w:sz w:val="16"/>
        <w:szCs w:val="16"/>
      </w:rPr>
    </w:pPr>
    <w:r w:rsidRPr="002B30E8">
      <w:rPr>
        <w:rFonts w:ascii="Verdana" w:hAnsi="Verdana" w:cstheme="minorHAnsi"/>
        <w:sz w:val="16"/>
        <w:szCs w:val="16"/>
        <w:lang w:val="nl-BE"/>
      </w:rPr>
      <w:t>DG POST</w:t>
    </w:r>
    <w:r w:rsidRPr="002B30E8">
      <w:rPr>
        <w:rFonts w:ascii="Verdana" w:hAnsi="Verdana" w:cstheme="minorHAnsi"/>
        <w:noProof/>
        <w:color w:val="404040"/>
        <w:sz w:val="16"/>
        <w:szCs w:val="16"/>
        <w:lang w:eastAsia="fr-BE"/>
      </w:rPr>
      <w:t xml:space="preserve"> vergunning/</w:t>
    </w:r>
    <w:r>
      <w:rPr>
        <w:rFonts w:ascii="Verdana" w:hAnsi="Verdana" w:cstheme="minorHAnsi"/>
        <w:noProof/>
        <w:color w:val="404040"/>
        <w:sz w:val="16"/>
        <w:szCs w:val="16"/>
        <w:lang w:eastAsia="fr-BE"/>
      </w:rPr>
      <w:t>a</w:t>
    </w:r>
    <w:r w:rsidRPr="002B30E8">
      <w:rPr>
        <w:rFonts w:ascii="Verdana" w:hAnsi="Verdana" w:cstheme="minorHAnsi"/>
        <w:noProof/>
        <w:color w:val="404040"/>
        <w:sz w:val="16"/>
        <w:szCs w:val="16"/>
        <w:lang w:eastAsia="fr-BE"/>
      </w:rPr>
      <w:t>fdeling Vigilantie/Cel Humane PhV/Evaluatie</w:t>
    </w:r>
    <w:r>
      <w:rPr>
        <w:rFonts w:ascii="Verdana" w:hAnsi="Verdana" w:cstheme="minorHAnsi"/>
        <w:noProof/>
        <w:color w:val="404040"/>
        <w:sz w:val="16"/>
        <w:szCs w:val="16"/>
        <w:lang w:eastAsia="fr-BE"/>
      </w:rPr>
      <w:t xml:space="preserve"> - </w:t>
    </w:r>
    <w:r>
      <w:rPr>
        <w:rFonts w:ascii="Verdana" w:hAnsi="Verdana"/>
        <w:sz w:val="16"/>
        <w:szCs w:val="16"/>
      </w:rPr>
      <w:t>v</w:t>
    </w:r>
    <w:r w:rsidRPr="0040329F">
      <w:rPr>
        <w:rFonts w:ascii="Verdana" w:hAnsi="Verdana"/>
        <w:sz w:val="16"/>
        <w:szCs w:val="16"/>
      </w:rPr>
      <w:t>ersie 1.2 – 25.09.2019</w:t>
    </w:r>
    <w:r>
      <w:tab/>
    </w:r>
    <w:r w:rsidRPr="00110F4E">
      <w:rPr>
        <w:rFonts w:ascii="Verdana" w:hAnsi="Verdana"/>
        <w:sz w:val="16"/>
        <w:szCs w:val="16"/>
      </w:rPr>
      <w:t xml:space="preserve">Pagina </w:t>
    </w:r>
    <w:r w:rsidRPr="002B30E8">
      <w:rPr>
        <w:rFonts w:ascii="Verdana" w:hAnsi="Verdana"/>
        <w:bCs/>
        <w:sz w:val="16"/>
        <w:szCs w:val="16"/>
      </w:rPr>
      <w:fldChar w:fldCharType="begin"/>
    </w:r>
    <w:r w:rsidRPr="002B30E8">
      <w:rPr>
        <w:rFonts w:ascii="Verdana" w:hAnsi="Verdana"/>
        <w:bCs/>
        <w:sz w:val="16"/>
        <w:szCs w:val="16"/>
      </w:rPr>
      <w:instrText>PAGE  \* Arabic  \* MERGEFORMAT</w:instrText>
    </w:r>
    <w:r w:rsidRPr="002B30E8">
      <w:rPr>
        <w:rFonts w:ascii="Verdana" w:hAnsi="Verdana"/>
        <w:bCs/>
        <w:sz w:val="16"/>
        <w:szCs w:val="16"/>
      </w:rPr>
      <w:fldChar w:fldCharType="separate"/>
    </w:r>
    <w:r w:rsidR="00B717FC">
      <w:rPr>
        <w:rFonts w:ascii="Verdana" w:hAnsi="Verdana"/>
        <w:bCs/>
        <w:noProof/>
        <w:sz w:val="16"/>
        <w:szCs w:val="16"/>
      </w:rPr>
      <w:t>1</w:t>
    </w:r>
    <w:r w:rsidRPr="002B30E8">
      <w:rPr>
        <w:rFonts w:ascii="Verdana" w:hAnsi="Verdana"/>
        <w:bCs/>
        <w:sz w:val="16"/>
        <w:szCs w:val="16"/>
      </w:rPr>
      <w:fldChar w:fldCharType="end"/>
    </w:r>
    <w:r w:rsidRPr="00142DDB">
      <w:rPr>
        <w:rFonts w:ascii="Verdana" w:hAnsi="Verdana"/>
        <w:sz w:val="16"/>
        <w:szCs w:val="16"/>
      </w:rPr>
      <w:t xml:space="preserve"> van </w:t>
    </w:r>
    <w:r w:rsidRPr="002B30E8">
      <w:rPr>
        <w:rFonts w:ascii="Verdana" w:hAnsi="Verdana"/>
        <w:bCs/>
        <w:sz w:val="16"/>
        <w:szCs w:val="16"/>
      </w:rPr>
      <w:fldChar w:fldCharType="begin"/>
    </w:r>
    <w:r w:rsidRPr="002B30E8">
      <w:rPr>
        <w:rFonts w:ascii="Verdana" w:hAnsi="Verdana"/>
        <w:bCs/>
        <w:sz w:val="16"/>
        <w:szCs w:val="16"/>
      </w:rPr>
      <w:instrText>NUMPAGES  \* Arabic  \* MERGEFORMAT</w:instrText>
    </w:r>
    <w:r w:rsidRPr="002B30E8">
      <w:rPr>
        <w:rFonts w:ascii="Verdana" w:hAnsi="Verdana"/>
        <w:bCs/>
        <w:sz w:val="16"/>
        <w:szCs w:val="16"/>
      </w:rPr>
      <w:fldChar w:fldCharType="separate"/>
    </w:r>
    <w:r w:rsidR="00B717FC">
      <w:rPr>
        <w:rFonts w:ascii="Verdana" w:hAnsi="Verdana"/>
        <w:bCs/>
        <w:noProof/>
        <w:sz w:val="16"/>
        <w:szCs w:val="16"/>
      </w:rPr>
      <w:t>7</w:t>
    </w:r>
    <w:r w:rsidRPr="002B30E8">
      <w:rPr>
        <w:rFonts w:ascii="Verdana" w:hAnsi="Verdana"/>
        <w:bCs/>
        <w:sz w:val="16"/>
        <w:szCs w:val="16"/>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1DCEF" w14:textId="77777777" w:rsidR="00D07CE4" w:rsidRDefault="00D07CE4">
      <w:r>
        <w:separator/>
      </w:r>
    </w:p>
  </w:footnote>
  <w:footnote w:type="continuationSeparator" w:id="0">
    <w:p w14:paraId="63F73E74" w14:textId="77777777" w:rsidR="00D07CE4" w:rsidRDefault="00D07CE4">
      <w:r>
        <w:continuationSeparator/>
      </w:r>
    </w:p>
  </w:footnote>
  <w:footnote w:id="1">
    <w:p w14:paraId="7FA23356" w14:textId="4D04D228" w:rsidR="002F61A0" w:rsidRPr="002B30E8" w:rsidRDefault="002F61A0" w:rsidP="002B30E8">
      <w:pPr>
        <w:tabs>
          <w:tab w:val="left" w:pos="480"/>
        </w:tabs>
        <w:rPr>
          <w:sz w:val="16"/>
          <w:szCs w:val="16"/>
        </w:rPr>
      </w:pPr>
      <w:r w:rsidRPr="002B30E8">
        <w:rPr>
          <w:rStyle w:val="Appelnotedebasdep"/>
          <w:rFonts w:ascii="Verdana" w:hAnsi="Verdana"/>
          <w:sz w:val="16"/>
          <w:szCs w:val="16"/>
        </w:rPr>
        <w:footnoteRef/>
      </w:r>
      <w:r w:rsidRPr="002B30E8">
        <w:rPr>
          <w:rFonts w:ascii="Verdana" w:hAnsi="Verdana"/>
          <w:sz w:val="16"/>
          <w:szCs w:val="16"/>
          <w:lang w:val="en-US"/>
        </w:rPr>
        <w:t xml:space="preserve"> </w:t>
      </w:r>
      <w:r w:rsidRPr="002B30E8">
        <w:rPr>
          <w:rFonts w:ascii="Verdana" w:hAnsi="Verdana" w:cs="Arial"/>
          <w:sz w:val="16"/>
          <w:szCs w:val="16"/>
          <w:lang w:val="en-US"/>
        </w:rPr>
        <w:t xml:space="preserve">In MRP/DCP </w:t>
      </w:r>
      <w:proofErr w:type="spellStart"/>
      <w:r w:rsidRPr="002B30E8">
        <w:rPr>
          <w:rFonts w:ascii="Verdana" w:hAnsi="Verdana" w:cs="Arial"/>
          <w:sz w:val="16"/>
          <w:szCs w:val="16"/>
          <w:lang w:val="en-US"/>
        </w:rPr>
        <w:t>werd</w:t>
      </w:r>
      <w:proofErr w:type="spellEnd"/>
      <w:r w:rsidRPr="002B30E8">
        <w:rPr>
          <w:rFonts w:ascii="Verdana" w:hAnsi="Verdana" w:cs="Arial"/>
          <w:sz w:val="16"/>
          <w:szCs w:val="16"/>
          <w:lang w:val="en-US"/>
        </w:rPr>
        <w:t xml:space="preserve"> het </w:t>
      </w:r>
      <w:proofErr w:type="spellStart"/>
      <w:r w:rsidRPr="002B30E8">
        <w:rPr>
          <w:rFonts w:ascii="Verdana" w:hAnsi="Verdana" w:cs="Arial"/>
          <w:sz w:val="16"/>
          <w:szCs w:val="16"/>
          <w:lang w:val="en-US"/>
        </w:rPr>
        <w:t>volgende</w:t>
      </w:r>
      <w:proofErr w:type="spellEnd"/>
      <w:r w:rsidRPr="002B30E8">
        <w:rPr>
          <w:rFonts w:ascii="Verdana" w:hAnsi="Verdana" w:cs="Arial"/>
          <w:sz w:val="16"/>
          <w:szCs w:val="16"/>
          <w:lang w:val="en-US"/>
        </w:rPr>
        <w:t xml:space="preserve"> al </w:t>
      </w:r>
      <w:proofErr w:type="spellStart"/>
      <w:r w:rsidRPr="002B30E8">
        <w:rPr>
          <w:rFonts w:ascii="Verdana" w:hAnsi="Verdana" w:cs="Arial"/>
          <w:sz w:val="16"/>
          <w:szCs w:val="16"/>
          <w:lang w:val="en-US"/>
        </w:rPr>
        <w:t>goedgekeurd</w:t>
      </w:r>
      <w:proofErr w:type="spellEnd"/>
      <w:r w:rsidRPr="002B30E8">
        <w:rPr>
          <w:rFonts w:ascii="Verdana" w:hAnsi="Verdana" w:cs="Arial"/>
          <w:sz w:val="16"/>
          <w:szCs w:val="16"/>
          <w:lang w:val="en-US"/>
        </w:rPr>
        <w:t>: “</w:t>
      </w:r>
      <w:r w:rsidRPr="002B30E8">
        <w:rPr>
          <w:rFonts w:ascii="Verdana" w:hAnsi="Verdana" w:cs="Arial"/>
          <w:sz w:val="16"/>
          <w:szCs w:val="16"/>
          <w:lang w:val="en-GB"/>
        </w:rPr>
        <w:t xml:space="preserve">The recommended daily dose of paracetamol is 60 mg/kg/day which is divided into 4 or 6 administrations daily, i.e. 15 mg/kg every 6 hours or 10 mg/kg every 4 hours.” </w:t>
      </w:r>
      <w:r w:rsidRPr="002B30E8">
        <w:rPr>
          <w:rFonts w:ascii="Verdana" w:hAnsi="Verdana" w:cs="Arial"/>
          <w:sz w:val="16"/>
          <w:szCs w:val="16"/>
        </w:rPr>
        <w:t>Bijgevolg is e</w:t>
      </w:r>
      <w:r w:rsidRPr="002B30E8">
        <w:rPr>
          <w:rFonts w:ascii="Verdana" w:hAnsi="Verdana" w:cs="Arial"/>
          <w:sz w:val="16"/>
          <w:szCs w:val="16"/>
          <w:lang w:val="nl-BE"/>
        </w:rPr>
        <w:t>en gebruikelijke dosis van “10 mg/kg per keer, tot 6 maal per dag” ook aanvaardbaar.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D51"/>
    <w:multiLevelType w:val="hybridMultilevel"/>
    <w:tmpl w:val="FD9C0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277AD"/>
    <w:multiLevelType w:val="hybridMultilevel"/>
    <w:tmpl w:val="E5E2A9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7E06FC"/>
    <w:multiLevelType w:val="hybridMultilevel"/>
    <w:tmpl w:val="61B24A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887F81"/>
    <w:multiLevelType w:val="singleLevel"/>
    <w:tmpl w:val="05608B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A05931"/>
    <w:multiLevelType w:val="multilevel"/>
    <w:tmpl w:val="85626B64"/>
    <w:lvl w:ilvl="0">
      <w:start w:val="1"/>
      <w:numFmt w:val="decimal"/>
      <w:pStyle w:val="Titre5"/>
      <w:lvlText w:val="%1."/>
      <w:lvlJc w:val="left"/>
      <w:pPr>
        <w:tabs>
          <w:tab w:val="num" w:pos="360"/>
        </w:tabs>
        <w:ind w:left="360" w:hanging="360"/>
      </w:pPr>
      <w:rPr>
        <w:rFonts w:hint="default"/>
      </w:rPr>
    </w:lvl>
    <w:lvl w:ilvl="1">
      <w:start w:val="1"/>
      <w:numFmt w:val="decimal"/>
      <w:pStyle w:val="Titre3"/>
      <w:lvlText w:val="%1.%2."/>
      <w:lvlJc w:val="left"/>
      <w:pPr>
        <w:tabs>
          <w:tab w:val="num" w:pos="792"/>
        </w:tabs>
        <w:ind w:left="792" w:hanging="79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Restart w:val="0"/>
      <w:isLgl/>
      <w:suff w:val="nothing"/>
      <w:lvlText w:val="%1.%2.%3.%4.%5.%6."/>
      <w:lvlJc w:val="left"/>
      <w:pPr>
        <w:ind w:left="2835" w:hanging="102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3F273E"/>
    <w:multiLevelType w:val="hybridMultilevel"/>
    <w:tmpl w:val="8E2C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0B96"/>
    <w:multiLevelType w:val="hybridMultilevel"/>
    <w:tmpl w:val="733C1F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A96EEF"/>
    <w:multiLevelType w:val="hybridMultilevel"/>
    <w:tmpl w:val="6E6E0F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ED1200"/>
    <w:multiLevelType w:val="hybridMultilevel"/>
    <w:tmpl w:val="7AAEE7AC"/>
    <w:lvl w:ilvl="0" w:tplc="458A3EAA">
      <w:numFmt w:val="bullet"/>
      <w:lvlText w:val="-"/>
      <w:lvlJc w:val="left"/>
      <w:pPr>
        <w:tabs>
          <w:tab w:val="num" w:pos="360"/>
        </w:tabs>
        <w:ind w:left="360" w:hanging="360"/>
      </w:pPr>
      <w:rPr>
        <w:rFonts w:ascii="Verdana" w:eastAsia="Californian FB" w:hAnsi="Verdan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E71E6E"/>
    <w:multiLevelType w:val="hybridMultilevel"/>
    <w:tmpl w:val="1398F3D2"/>
    <w:lvl w:ilvl="0" w:tplc="458A3EAA">
      <w:numFmt w:val="bullet"/>
      <w:lvlText w:val="-"/>
      <w:lvlJc w:val="left"/>
      <w:pPr>
        <w:tabs>
          <w:tab w:val="num" w:pos="360"/>
        </w:tabs>
        <w:ind w:left="360" w:hanging="360"/>
      </w:pPr>
      <w:rPr>
        <w:rFonts w:ascii="Verdana" w:eastAsia="Californian FB" w:hAnsi="Verdan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21836"/>
    <w:multiLevelType w:val="hybridMultilevel"/>
    <w:tmpl w:val="58808846"/>
    <w:lvl w:ilvl="0" w:tplc="FFFFFFFF">
      <w:start w:val="4"/>
      <w:numFmt w:val="bullet"/>
      <w:lvlText w:val="-"/>
      <w:lvlJc w:val="left"/>
      <w:pPr>
        <w:tabs>
          <w:tab w:val="num" w:pos="360"/>
        </w:tabs>
        <w:ind w:left="360" w:hanging="360"/>
      </w:pPr>
      <w:rPr>
        <w:rFonts w:ascii="Times New Roman" w:eastAsia="SimSu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302E21"/>
    <w:multiLevelType w:val="hybridMultilevel"/>
    <w:tmpl w:val="D6E6D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43A91"/>
    <w:multiLevelType w:val="hybridMultilevel"/>
    <w:tmpl w:val="2F262D3A"/>
    <w:lvl w:ilvl="0" w:tplc="458A3EAA">
      <w:numFmt w:val="bullet"/>
      <w:lvlText w:val="-"/>
      <w:lvlJc w:val="left"/>
      <w:pPr>
        <w:tabs>
          <w:tab w:val="num" w:pos="360"/>
        </w:tabs>
        <w:ind w:left="360" w:hanging="360"/>
      </w:pPr>
      <w:rPr>
        <w:rFonts w:ascii="Verdana" w:eastAsia="Californian FB" w:hAnsi="Verdan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662B25"/>
    <w:multiLevelType w:val="hybridMultilevel"/>
    <w:tmpl w:val="E2A09F8E"/>
    <w:lvl w:ilvl="0" w:tplc="458A3EAA">
      <w:numFmt w:val="bullet"/>
      <w:lvlText w:val="-"/>
      <w:lvlJc w:val="left"/>
      <w:pPr>
        <w:tabs>
          <w:tab w:val="num" w:pos="360"/>
        </w:tabs>
        <w:ind w:left="360" w:hanging="360"/>
      </w:pPr>
      <w:rPr>
        <w:rFonts w:ascii="Verdana" w:eastAsia="Californian FB" w:hAnsi="Verdan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723982"/>
    <w:multiLevelType w:val="hybridMultilevel"/>
    <w:tmpl w:val="CD34DA4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803FED"/>
    <w:multiLevelType w:val="multilevel"/>
    <w:tmpl w:val="55BC9744"/>
    <w:lvl w:ilvl="0">
      <w:numFmt w:val="bullet"/>
      <w:lvlText w:val="-"/>
      <w:lvlJc w:val="left"/>
      <w:pPr>
        <w:tabs>
          <w:tab w:val="num" w:pos="360"/>
        </w:tabs>
        <w:ind w:left="360" w:hanging="360"/>
      </w:pPr>
      <w:rPr>
        <w:rFonts w:ascii="Verdana" w:eastAsia="Californian FB" w:hAnsi="Verdana" w:cs="Tahoma"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F2451A"/>
    <w:multiLevelType w:val="hybridMultilevel"/>
    <w:tmpl w:val="523AD07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1D0389"/>
    <w:multiLevelType w:val="hybridMultilevel"/>
    <w:tmpl w:val="B61036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90236B"/>
    <w:multiLevelType w:val="singleLevel"/>
    <w:tmpl w:val="05608B5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8F5469"/>
    <w:multiLevelType w:val="singleLevel"/>
    <w:tmpl w:val="24BA6B82"/>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8CC7767"/>
    <w:multiLevelType w:val="hybridMultilevel"/>
    <w:tmpl w:val="BCCC4FA0"/>
    <w:lvl w:ilvl="0" w:tplc="BBCAC93C">
      <w:start w:val="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923631"/>
    <w:multiLevelType w:val="hybridMultilevel"/>
    <w:tmpl w:val="7EAE5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02147"/>
    <w:multiLevelType w:val="hybridMultilevel"/>
    <w:tmpl w:val="D5C460F2"/>
    <w:lvl w:ilvl="0" w:tplc="32E2514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951D9"/>
    <w:multiLevelType w:val="hybridMultilevel"/>
    <w:tmpl w:val="74185E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7A2C2A"/>
    <w:multiLevelType w:val="hybridMultilevel"/>
    <w:tmpl w:val="31F62932"/>
    <w:lvl w:ilvl="0" w:tplc="0FCAFEBC">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387F47"/>
    <w:multiLevelType w:val="hybridMultilevel"/>
    <w:tmpl w:val="55BC9744"/>
    <w:lvl w:ilvl="0" w:tplc="458A3EAA">
      <w:numFmt w:val="bullet"/>
      <w:lvlText w:val="-"/>
      <w:lvlJc w:val="left"/>
      <w:pPr>
        <w:tabs>
          <w:tab w:val="num" w:pos="360"/>
        </w:tabs>
        <w:ind w:left="360" w:hanging="360"/>
      </w:pPr>
      <w:rPr>
        <w:rFonts w:ascii="Verdana" w:eastAsia="Californian FB" w:hAnsi="Verdan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FB17EF"/>
    <w:multiLevelType w:val="hybridMultilevel"/>
    <w:tmpl w:val="A1723396"/>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79C0FDF"/>
    <w:multiLevelType w:val="hybridMultilevel"/>
    <w:tmpl w:val="23CA449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217DA"/>
    <w:multiLevelType w:val="hybridMultilevel"/>
    <w:tmpl w:val="2C4CBC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31597D"/>
    <w:multiLevelType w:val="hybridMultilevel"/>
    <w:tmpl w:val="B322C226"/>
    <w:lvl w:ilvl="0" w:tplc="458A3EAA">
      <w:numFmt w:val="bullet"/>
      <w:lvlText w:val="-"/>
      <w:lvlJc w:val="left"/>
      <w:pPr>
        <w:tabs>
          <w:tab w:val="num" w:pos="360"/>
        </w:tabs>
        <w:ind w:left="360" w:hanging="360"/>
      </w:pPr>
      <w:rPr>
        <w:rFonts w:ascii="Verdana" w:eastAsia="Californian FB" w:hAnsi="Verdan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3F7D19"/>
    <w:multiLevelType w:val="hybridMultilevel"/>
    <w:tmpl w:val="EE8282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ED4214"/>
    <w:multiLevelType w:val="hybridMultilevel"/>
    <w:tmpl w:val="8E2C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A6554"/>
    <w:multiLevelType w:val="hybridMultilevel"/>
    <w:tmpl w:val="9FF855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5251B7"/>
    <w:multiLevelType w:val="hybridMultilevel"/>
    <w:tmpl w:val="77FC6E10"/>
    <w:lvl w:ilvl="0" w:tplc="56F8D0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17"/>
  </w:num>
  <w:num w:numId="4">
    <w:abstractNumId w:val="32"/>
  </w:num>
  <w:num w:numId="5">
    <w:abstractNumId w:val="6"/>
  </w:num>
  <w:num w:numId="6">
    <w:abstractNumId w:val="2"/>
  </w:num>
  <w:num w:numId="7">
    <w:abstractNumId w:val="1"/>
  </w:num>
  <w:num w:numId="8">
    <w:abstractNumId w:val="24"/>
  </w:num>
  <w:num w:numId="9">
    <w:abstractNumId w:val="20"/>
  </w:num>
  <w:num w:numId="10">
    <w:abstractNumId w:val="16"/>
  </w:num>
  <w:num w:numId="11">
    <w:abstractNumId w:val="33"/>
  </w:num>
  <w:num w:numId="12">
    <w:abstractNumId w:val="8"/>
  </w:num>
  <w:num w:numId="13">
    <w:abstractNumId w:val="25"/>
  </w:num>
  <w:num w:numId="14">
    <w:abstractNumId w:val="15"/>
  </w:num>
  <w:num w:numId="15">
    <w:abstractNumId w:val="9"/>
  </w:num>
  <w:num w:numId="16">
    <w:abstractNumId w:val="12"/>
  </w:num>
  <w:num w:numId="17">
    <w:abstractNumId w:val="13"/>
  </w:num>
  <w:num w:numId="18">
    <w:abstractNumId w:val="29"/>
  </w:num>
  <w:num w:numId="19">
    <w:abstractNumId w:val="7"/>
  </w:num>
  <w:num w:numId="20">
    <w:abstractNumId w:val="30"/>
  </w:num>
  <w:num w:numId="21">
    <w:abstractNumId w:val="10"/>
  </w:num>
  <w:num w:numId="22">
    <w:abstractNumId w:val="3"/>
  </w:num>
  <w:num w:numId="23">
    <w:abstractNumId w:val="18"/>
  </w:num>
  <w:num w:numId="24">
    <w:abstractNumId w:val="21"/>
  </w:num>
  <w:num w:numId="25">
    <w:abstractNumId w:val="5"/>
  </w:num>
  <w:num w:numId="26">
    <w:abstractNumId w:val="31"/>
  </w:num>
  <w:num w:numId="27">
    <w:abstractNumId w:val="22"/>
  </w:num>
  <w:num w:numId="28">
    <w:abstractNumId w:val="28"/>
  </w:num>
  <w:num w:numId="29">
    <w:abstractNumId w:val="27"/>
  </w:num>
  <w:num w:numId="30">
    <w:abstractNumId w:val="14"/>
  </w:num>
  <w:num w:numId="31">
    <w:abstractNumId w:val="11"/>
  </w:num>
  <w:num w:numId="32">
    <w:abstractNumId w:val="23"/>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numFmt w:val="lowerLette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08"/>
    <w:rsid w:val="0000003C"/>
    <w:rsid w:val="00002A75"/>
    <w:rsid w:val="00004AF0"/>
    <w:rsid w:val="00006700"/>
    <w:rsid w:val="00012F92"/>
    <w:rsid w:val="0002150E"/>
    <w:rsid w:val="000243E4"/>
    <w:rsid w:val="0002535B"/>
    <w:rsid w:val="000260A6"/>
    <w:rsid w:val="0003217D"/>
    <w:rsid w:val="0003322A"/>
    <w:rsid w:val="00042A68"/>
    <w:rsid w:val="000443B0"/>
    <w:rsid w:val="00046F1A"/>
    <w:rsid w:val="00050026"/>
    <w:rsid w:val="000508EC"/>
    <w:rsid w:val="00050ED1"/>
    <w:rsid w:val="0005199B"/>
    <w:rsid w:val="000522C1"/>
    <w:rsid w:val="000527A8"/>
    <w:rsid w:val="0005362C"/>
    <w:rsid w:val="0005411B"/>
    <w:rsid w:val="00061382"/>
    <w:rsid w:val="0006373D"/>
    <w:rsid w:val="00066590"/>
    <w:rsid w:val="0007234D"/>
    <w:rsid w:val="00073CBB"/>
    <w:rsid w:val="00076D24"/>
    <w:rsid w:val="00081710"/>
    <w:rsid w:val="000828AC"/>
    <w:rsid w:val="00085D40"/>
    <w:rsid w:val="000917A8"/>
    <w:rsid w:val="00096B6D"/>
    <w:rsid w:val="000A0DAB"/>
    <w:rsid w:val="000A1F92"/>
    <w:rsid w:val="000A6FE9"/>
    <w:rsid w:val="000A7726"/>
    <w:rsid w:val="000B27CC"/>
    <w:rsid w:val="000B7E31"/>
    <w:rsid w:val="000C3886"/>
    <w:rsid w:val="000C5040"/>
    <w:rsid w:val="000C51CC"/>
    <w:rsid w:val="000C6AEB"/>
    <w:rsid w:val="000C762E"/>
    <w:rsid w:val="000C77E3"/>
    <w:rsid w:val="000D0196"/>
    <w:rsid w:val="000D1AFB"/>
    <w:rsid w:val="000E6839"/>
    <w:rsid w:val="000E71EA"/>
    <w:rsid w:val="000F4DEB"/>
    <w:rsid w:val="000F5B6F"/>
    <w:rsid w:val="000F60B2"/>
    <w:rsid w:val="000F73AB"/>
    <w:rsid w:val="000F7806"/>
    <w:rsid w:val="00100DA0"/>
    <w:rsid w:val="001142FE"/>
    <w:rsid w:val="00114E3C"/>
    <w:rsid w:val="00127283"/>
    <w:rsid w:val="00132FA1"/>
    <w:rsid w:val="00132FAC"/>
    <w:rsid w:val="0013587E"/>
    <w:rsid w:val="00135CF1"/>
    <w:rsid w:val="001372C2"/>
    <w:rsid w:val="00140B66"/>
    <w:rsid w:val="00142DDB"/>
    <w:rsid w:val="00147423"/>
    <w:rsid w:val="00150325"/>
    <w:rsid w:val="001508EF"/>
    <w:rsid w:val="001528E3"/>
    <w:rsid w:val="00156AF6"/>
    <w:rsid w:val="00163007"/>
    <w:rsid w:val="00163EE2"/>
    <w:rsid w:val="00166D23"/>
    <w:rsid w:val="00170DF5"/>
    <w:rsid w:val="001801B6"/>
    <w:rsid w:val="0018590C"/>
    <w:rsid w:val="00185C3B"/>
    <w:rsid w:val="00187C02"/>
    <w:rsid w:val="001A4249"/>
    <w:rsid w:val="001B0545"/>
    <w:rsid w:val="001B5EAF"/>
    <w:rsid w:val="001B6847"/>
    <w:rsid w:val="001B6A36"/>
    <w:rsid w:val="001C1485"/>
    <w:rsid w:val="001C2D74"/>
    <w:rsid w:val="001C344C"/>
    <w:rsid w:val="001C3B44"/>
    <w:rsid w:val="001C4788"/>
    <w:rsid w:val="001C54C5"/>
    <w:rsid w:val="001D1A1E"/>
    <w:rsid w:val="001D1BC6"/>
    <w:rsid w:val="001D3012"/>
    <w:rsid w:val="001D3421"/>
    <w:rsid w:val="001E0FB8"/>
    <w:rsid w:val="001E3033"/>
    <w:rsid w:val="001E3F14"/>
    <w:rsid w:val="001E6ECB"/>
    <w:rsid w:val="001F0AB2"/>
    <w:rsid w:val="001F5A56"/>
    <w:rsid w:val="0020506F"/>
    <w:rsid w:val="002104FB"/>
    <w:rsid w:val="00212444"/>
    <w:rsid w:val="00213F89"/>
    <w:rsid w:val="0021687E"/>
    <w:rsid w:val="002228CF"/>
    <w:rsid w:val="00226FCA"/>
    <w:rsid w:val="00231084"/>
    <w:rsid w:val="00235ADB"/>
    <w:rsid w:val="002378A4"/>
    <w:rsid w:val="0024269C"/>
    <w:rsid w:val="002469F5"/>
    <w:rsid w:val="00252A35"/>
    <w:rsid w:val="00264679"/>
    <w:rsid w:val="00265C48"/>
    <w:rsid w:val="00267094"/>
    <w:rsid w:val="00274374"/>
    <w:rsid w:val="00276FAB"/>
    <w:rsid w:val="002851E2"/>
    <w:rsid w:val="0028634D"/>
    <w:rsid w:val="00290751"/>
    <w:rsid w:val="00292D66"/>
    <w:rsid w:val="002A0DA7"/>
    <w:rsid w:val="002A434A"/>
    <w:rsid w:val="002A4748"/>
    <w:rsid w:val="002A71CE"/>
    <w:rsid w:val="002B03E8"/>
    <w:rsid w:val="002B0E30"/>
    <w:rsid w:val="002B18E0"/>
    <w:rsid w:val="002B30E8"/>
    <w:rsid w:val="002B6446"/>
    <w:rsid w:val="002C1DA7"/>
    <w:rsid w:val="002C3B2D"/>
    <w:rsid w:val="002C4516"/>
    <w:rsid w:val="002C6C2C"/>
    <w:rsid w:val="002C7E9D"/>
    <w:rsid w:val="002D196A"/>
    <w:rsid w:val="002D5808"/>
    <w:rsid w:val="002D72D0"/>
    <w:rsid w:val="002E0A3F"/>
    <w:rsid w:val="002E1739"/>
    <w:rsid w:val="002F4446"/>
    <w:rsid w:val="002F468F"/>
    <w:rsid w:val="002F61A0"/>
    <w:rsid w:val="003006D5"/>
    <w:rsid w:val="00306F85"/>
    <w:rsid w:val="003127F9"/>
    <w:rsid w:val="00313085"/>
    <w:rsid w:val="00314DD4"/>
    <w:rsid w:val="003154D5"/>
    <w:rsid w:val="0031552A"/>
    <w:rsid w:val="0031792F"/>
    <w:rsid w:val="003213E1"/>
    <w:rsid w:val="0032402C"/>
    <w:rsid w:val="00326F6C"/>
    <w:rsid w:val="00340339"/>
    <w:rsid w:val="0034130A"/>
    <w:rsid w:val="00343D09"/>
    <w:rsid w:val="0034478A"/>
    <w:rsid w:val="003500C0"/>
    <w:rsid w:val="0035610D"/>
    <w:rsid w:val="00362D47"/>
    <w:rsid w:val="00363096"/>
    <w:rsid w:val="00364B17"/>
    <w:rsid w:val="00366E21"/>
    <w:rsid w:val="00374983"/>
    <w:rsid w:val="003766E5"/>
    <w:rsid w:val="00377AB6"/>
    <w:rsid w:val="00377D66"/>
    <w:rsid w:val="00383974"/>
    <w:rsid w:val="003841F8"/>
    <w:rsid w:val="00390E3A"/>
    <w:rsid w:val="00391A2E"/>
    <w:rsid w:val="00391DAA"/>
    <w:rsid w:val="00393F8D"/>
    <w:rsid w:val="0039595F"/>
    <w:rsid w:val="00395D70"/>
    <w:rsid w:val="0039641F"/>
    <w:rsid w:val="003A2E03"/>
    <w:rsid w:val="003A30AD"/>
    <w:rsid w:val="003A5D6B"/>
    <w:rsid w:val="003B0394"/>
    <w:rsid w:val="003B1CAC"/>
    <w:rsid w:val="003B58B1"/>
    <w:rsid w:val="003B6824"/>
    <w:rsid w:val="003C036B"/>
    <w:rsid w:val="003C5C25"/>
    <w:rsid w:val="003D0628"/>
    <w:rsid w:val="003D062D"/>
    <w:rsid w:val="003D0A6A"/>
    <w:rsid w:val="003D112B"/>
    <w:rsid w:val="003D25E6"/>
    <w:rsid w:val="003E01DA"/>
    <w:rsid w:val="003E4571"/>
    <w:rsid w:val="003F0D98"/>
    <w:rsid w:val="003F3C82"/>
    <w:rsid w:val="003F6000"/>
    <w:rsid w:val="00404C20"/>
    <w:rsid w:val="00410C50"/>
    <w:rsid w:val="00411D96"/>
    <w:rsid w:val="004160F5"/>
    <w:rsid w:val="004171E2"/>
    <w:rsid w:val="00417604"/>
    <w:rsid w:val="00420E6F"/>
    <w:rsid w:val="00423256"/>
    <w:rsid w:val="00425598"/>
    <w:rsid w:val="00427EED"/>
    <w:rsid w:val="00433D1B"/>
    <w:rsid w:val="00434A9A"/>
    <w:rsid w:val="0043600F"/>
    <w:rsid w:val="00437BAF"/>
    <w:rsid w:val="00453C8F"/>
    <w:rsid w:val="004575C5"/>
    <w:rsid w:val="00457D44"/>
    <w:rsid w:val="0046064B"/>
    <w:rsid w:val="0046118E"/>
    <w:rsid w:val="004615DD"/>
    <w:rsid w:val="00462B28"/>
    <w:rsid w:val="00462C2B"/>
    <w:rsid w:val="00467D97"/>
    <w:rsid w:val="00474D3D"/>
    <w:rsid w:val="004810BD"/>
    <w:rsid w:val="00484126"/>
    <w:rsid w:val="00490F14"/>
    <w:rsid w:val="00492D33"/>
    <w:rsid w:val="00494919"/>
    <w:rsid w:val="004A6791"/>
    <w:rsid w:val="004A6EEC"/>
    <w:rsid w:val="004B46FB"/>
    <w:rsid w:val="004B4D59"/>
    <w:rsid w:val="004B6B6B"/>
    <w:rsid w:val="004C4024"/>
    <w:rsid w:val="004C4598"/>
    <w:rsid w:val="004C79DE"/>
    <w:rsid w:val="004E5343"/>
    <w:rsid w:val="004E5C84"/>
    <w:rsid w:val="004F0B13"/>
    <w:rsid w:val="004F67C0"/>
    <w:rsid w:val="004F7505"/>
    <w:rsid w:val="005002F1"/>
    <w:rsid w:val="0050290F"/>
    <w:rsid w:val="00503CDE"/>
    <w:rsid w:val="005049D4"/>
    <w:rsid w:val="005109CC"/>
    <w:rsid w:val="00510EA1"/>
    <w:rsid w:val="00512551"/>
    <w:rsid w:val="00530903"/>
    <w:rsid w:val="00530C29"/>
    <w:rsid w:val="00531296"/>
    <w:rsid w:val="00532447"/>
    <w:rsid w:val="00534961"/>
    <w:rsid w:val="00536F0B"/>
    <w:rsid w:val="0054369D"/>
    <w:rsid w:val="00543925"/>
    <w:rsid w:val="00545489"/>
    <w:rsid w:val="00546EA4"/>
    <w:rsid w:val="0054745C"/>
    <w:rsid w:val="0055010E"/>
    <w:rsid w:val="005501BD"/>
    <w:rsid w:val="0055637D"/>
    <w:rsid w:val="00557E27"/>
    <w:rsid w:val="00561005"/>
    <w:rsid w:val="00565306"/>
    <w:rsid w:val="00566321"/>
    <w:rsid w:val="0057150F"/>
    <w:rsid w:val="005717F5"/>
    <w:rsid w:val="00571ADB"/>
    <w:rsid w:val="00572072"/>
    <w:rsid w:val="005725FF"/>
    <w:rsid w:val="00572A03"/>
    <w:rsid w:val="00573BD4"/>
    <w:rsid w:val="005929DA"/>
    <w:rsid w:val="005970C5"/>
    <w:rsid w:val="005A0193"/>
    <w:rsid w:val="005A414A"/>
    <w:rsid w:val="005A53A7"/>
    <w:rsid w:val="005B201C"/>
    <w:rsid w:val="005B6823"/>
    <w:rsid w:val="005C13D1"/>
    <w:rsid w:val="005C20CC"/>
    <w:rsid w:val="005C7130"/>
    <w:rsid w:val="005D1C4A"/>
    <w:rsid w:val="005E00A6"/>
    <w:rsid w:val="005E0F08"/>
    <w:rsid w:val="005E5457"/>
    <w:rsid w:val="005E73D7"/>
    <w:rsid w:val="005F7CE1"/>
    <w:rsid w:val="006004A0"/>
    <w:rsid w:val="00607F19"/>
    <w:rsid w:val="00614D02"/>
    <w:rsid w:val="006203D4"/>
    <w:rsid w:val="006215A4"/>
    <w:rsid w:val="006215C8"/>
    <w:rsid w:val="00623463"/>
    <w:rsid w:val="006258CD"/>
    <w:rsid w:val="006317C3"/>
    <w:rsid w:val="00632A6C"/>
    <w:rsid w:val="0063321D"/>
    <w:rsid w:val="006338B2"/>
    <w:rsid w:val="00640AB6"/>
    <w:rsid w:val="00640C1B"/>
    <w:rsid w:val="0064515D"/>
    <w:rsid w:val="00646CCE"/>
    <w:rsid w:val="00650A33"/>
    <w:rsid w:val="00653EAC"/>
    <w:rsid w:val="00655EC7"/>
    <w:rsid w:val="00656F56"/>
    <w:rsid w:val="00666A0A"/>
    <w:rsid w:val="00666FE4"/>
    <w:rsid w:val="0066768D"/>
    <w:rsid w:val="006747E4"/>
    <w:rsid w:val="0067540B"/>
    <w:rsid w:val="006773FA"/>
    <w:rsid w:val="006835C3"/>
    <w:rsid w:val="00684392"/>
    <w:rsid w:val="006845FB"/>
    <w:rsid w:val="006903FC"/>
    <w:rsid w:val="0069406B"/>
    <w:rsid w:val="00694E05"/>
    <w:rsid w:val="00695B9C"/>
    <w:rsid w:val="00696A30"/>
    <w:rsid w:val="00696B85"/>
    <w:rsid w:val="006A0483"/>
    <w:rsid w:val="006A35EE"/>
    <w:rsid w:val="006B315A"/>
    <w:rsid w:val="006B50FC"/>
    <w:rsid w:val="006B5255"/>
    <w:rsid w:val="006B56EA"/>
    <w:rsid w:val="006B736F"/>
    <w:rsid w:val="006C02A9"/>
    <w:rsid w:val="006C1F79"/>
    <w:rsid w:val="006C3E55"/>
    <w:rsid w:val="006C4FA6"/>
    <w:rsid w:val="006D411B"/>
    <w:rsid w:val="006D4700"/>
    <w:rsid w:val="006D49E8"/>
    <w:rsid w:val="006E0D9F"/>
    <w:rsid w:val="006E258A"/>
    <w:rsid w:val="006E74F9"/>
    <w:rsid w:val="006F263E"/>
    <w:rsid w:val="006F3EC5"/>
    <w:rsid w:val="006F7D56"/>
    <w:rsid w:val="00703912"/>
    <w:rsid w:val="00715CA8"/>
    <w:rsid w:val="00717592"/>
    <w:rsid w:val="007243F0"/>
    <w:rsid w:val="0072750B"/>
    <w:rsid w:val="00731141"/>
    <w:rsid w:val="00740454"/>
    <w:rsid w:val="007456B4"/>
    <w:rsid w:val="00745A97"/>
    <w:rsid w:val="007505D2"/>
    <w:rsid w:val="00751E5B"/>
    <w:rsid w:val="0075228A"/>
    <w:rsid w:val="00752859"/>
    <w:rsid w:val="00761352"/>
    <w:rsid w:val="00765566"/>
    <w:rsid w:val="00766561"/>
    <w:rsid w:val="007668A5"/>
    <w:rsid w:val="00767982"/>
    <w:rsid w:val="007704C0"/>
    <w:rsid w:val="00774B42"/>
    <w:rsid w:val="0078459B"/>
    <w:rsid w:val="007869E7"/>
    <w:rsid w:val="007A301C"/>
    <w:rsid w:val="007A6884"/>
    <w:rsid w:val="007B0CC3"/>
    <w:rsid w:val="007C4431"/>
    <w:rsid w:val="007C56EF"/>
    <w:rsid w:val="007D0686"/>
    <w:rsid w:val="007D1437"/>
    <w:rsid w:val="007D5773"/>
    <w:rsid w:val="007E0EED"/>
    <w:rsid w:val="007E2860"/>
    <w:rsid w:val="007E2AEE"/>
    <w:rsid w:val="007E45D7"/>
    <w:rsid w:val="007E60D1"/>
    <w:rsid w:val="007F3E77"/>
    <w:rsid w:val="007F6154"/>
    <w:rsid w:val="007F6972"/>
    <w:rsid w:val="0080035E"/>
    <w:rsid w:val="008014D8"/>
    <w:rsid w:val="0080224F"/>
    <w:rsid w:val="00802883"/>
    <w:rsid w:val="00802B15"/>
    <w:rsid w:val="0080580E"/>
    <w:rsid w:val="00807E3E"/>
    <w:rsid w:val="00810720"/>
    <w:rsid w:val="00815544"/>
    <w:rsid w:val="0081791A"/>
    <w:rsid w:val="00824319"/>
    <w:rsid w:val="008267FE"/>
    <w:rsid w:val="008327C4"/>
    <w:rsid w:val="0083493B"/>
    <w:rsid w:val="00835FDC"/>
    <w:rsid w:val="008405FE"/>
    <w:rsid w:val="00840E5A"/>
    <w:rsid w:val="00842133"/>
    <w:rsid w:val="00842204"/>
    <w:rsid w:val="00844BF4"/>
    <w:rsid w:val="008520F1"/>
    <w:rsid w:val="00854185"/>
    <w:rsid w:val="00855129"/>
    <w:rsid w:val="008551D9"/>
    <w:rsid w:val="00856A8E"/>
    <w:rsid w:val="008669BF"/>
    <w:rsid w:val="00867F8A"/>
    <w:rsid w:val="008723C6"/>
    <w:rsid w:val="008729B2"/>
    <w:rsid w:val="00873FB1"/>
    <w:rsid w:val="0087449F"/>
    <w:rsid w:val="008768CE"/>
    <w:rsid w:val="0088082E"/>
    <w:rsid w:val="00895144"/>
    <w:rsid w:val="008A025B"/>
    <w:rsid w:val="008A0456"/>
    <w:rsid w:val="008A2108"/>
    <w:rsid w:val="008A2D7F"/>
    <w:rsid w:val="008A598D"/>
    <w:rsid w:val="008A7A75"/>
    <w:rsid w:val="008B1F9D"/>
    <w:rsid w:val="008B3E20"/>
    <w:rsid w:val="008B4784"/>
    <w:rsid w:val="008B4947"/>
    <w:rsid w:val="008C26FC"/>
    <w:rsid w:val="008C2EFE"/>
    <w:rsid w:val="008C341A"/>
    <w:rsid w:val="008C3F15"/>
    <w:rsid w:val="008C5F32"/>
    <w:rsid w:val="008C6D99"/>
    <w:rsid w:val="008D0AE6"/>
    <w:rsid w:val="008D1138"/>
    <w:rsid w:val="008D12E4"/>
    <w:rsid w:val="008D1BDF"/>
    <w:rsid w:val="008D32AA"/>
    <w:rsid w:val="008D405A"/>
    <w:rsid w:val="008D6E3C"/>
    <w:rsid w:val="008E1AC0"/>
    <w:rsid w:val="008E2742"/>
    <w:rsid w:val="008E2A36"/>
    <w:rsid w:val="008E2DED"/>
    <w:rsid w:val="008E4403"/>
    <w:rsid w:val="008E5C30"/>
    <w:rsid w:val="008E5D93"/>
    <w:rsid w:val="008F11B5"/>
    <w:rsid w:val="008F3DEF"/>
    <w:rsid w:val="008F50D3"/>
    <w:rsid w:val="00904E73"/>
    <w:rsid w:val="009069FB"/>
    <w:rsid w:val="00911407"/>
    <w:rsid w:val="00912956"/>
    <w:rsid w:val="00921499"/>
    <w:rsid w:val="00923DD8"/>
    <w:rsid w:val="009247FC"/>
    <w:rsid w:val="00925F53"/>
    <w:rsid w:val="00927424"/>
    <w:rsid w:val="009416A6"/>
    <w:rsid w:val="00943F01"/>
    <w:rsid w:val="00946CFF"/>
    <w:rsid w:val="00955DAD"/>
    <w:rsid w:val="009608DF"/>
    <w:rsid w:val="00960C28"/>
    <w:rsid w:val="00971D9A"/>
    <w:rsid w:val="009737D9"/>
    <w:rsid w:val="0097541E"/>
    <w:rsid w:val="00977AA3"/>
    <w:rsid w:val="009870A2"/>
    <w:rsid w:val="0098765B"/>
    <w:rsid w:val="00987C33"/>
    <w:rsid w:val="0099009F"/>
    <w:rsid w:val="00990487"/>
    <w:rsid w:val="00995381"/>
    <w:rsid w:val="0099611E"/>
    <w:rsid w:val="009A39D8"/>
    <w:rsid w:val="009A794B"/>
    <w:rsid w:val="009C1C61"/>
    <w:rsid w:val="009D22BF"/>
    <w:rsid w:val="009D2953"/>
    <w:rsid w:val="009D7117"/>
    <w:rsid w:val="009E5B3C"/>
    <w:rsid w:val="009E6B7E"/>
    <w:rsid w:val="009F7DDC"/>
    <w:rsid w:val="00A02C9A"/>
    <w:rsid w:val="00A05722"/>
    <w:rsid w:val="00A07AC8"/>
    <w:rsid w:val="00A17FB0"/>
    <w:rsid w:val="00A327E7"/>
    <w:rsid w:val="00A3326C"/>
    <w:rsid w:val="00A34638"/>
    <w:rsid w:val="00A37AAE"/>
    <w:rsid w:val="00A4152D"/>
    <w:rsid w:val="00A42215"/>
    <w:rsid w:val="00A4295A"/>
    <w:rsid w:val="00A4445E"/>
    <w:rsid w:val="00A46B80"/>
    <w:rsid w:val="00A5211D"/>
    <w:rsid w:val="00A55225"/>
    <w:rsid w:val="00A65B05"/>
    <w:rsid w:val="00A67FCB"/>
    <w:rsid w:val="00A801CC"/>
    <w:rsid w:val="00A843E2"/>
    <w:rsid w:val="00A8557A"/>
    <w:rsid w:val="00A86F09"/>
    <w:rsid w:val="00A9053A"/>
    <w:rsid w:val="00A90546"/>
    <w:rsid w:val="00A90668"/>
    <w:rsid w:val="00A90AC6"/>
    <w:rsid w:val="00A90D78"/>
    <w:rsid w:val="00A913B5"/>
    <w:rsid w:val="00A91655"/>
    <w:rsid w:val="00A955D2"/>
    <w:rsid w:val="00A9560C"/>
    <w:rsid w:val="00A97FFC"/>
    <w:rsid w:val="00AA52B3"/>
    <w:rsid w:val="00AA7CBD"/>
    <w:rsid w:val="00AB28B3"/>
    <w:rsid w:val="00AC0C43"/>
    <w:rsid w:val="00AC1009"/>
    <w:rsid w:val="00AC515B"/>
    <w:rsid w:val="00AC53FD"/>
    <w:rsid w:val="00AD178B"/>
    <w:rsid w:val="00AD17C0"/>
    <w:rsid w:val="00AD1862"/>
    <w:rsid w:val="00AD2E9F"/>
    <w:rsid w:val="00AD44BA"/>
    <w:rsid w:val="00AD4866"/>
    <w:rsid w:val="00AD59E2"/>
    <w:rsid w:val="00AE0253"/>
    <w:rsid w:val="00AE2E1F"/>
    <w:rsid w:val="00AE3558"/>
    <w:rsid w:val="00AE368E"/>
    <w:rsid w:val="00AE3E28"/>
    <w:rsid w:val="00AE536E"/>
    <w:rsid w:val="00AE78A6"/>
    <w:rsid w:val="00AE7A28"/>
    <w:rsid w:val="00AF246D"/>
    <w:rsid w:val="00AF378E"/>
    <w:rsid w:val="00B02126"/>
    <w:rsid w:val="00B0384D"/>
    <w:rsid w:val="00B04D27"/>
    <w:rsid w:val="00B052E8"/>
    <w:rsid w:val="00B056B3"/>
    <w:rsid w:val="00B07C77"/>
    <w:rsid w:val="00B22896"/>
    <w:rsid w:val="00B23BDE"/>
    <w:rsid w:val="00B26F2E"/>
    <w:rsid w:val="00B300F5"/>
    <w:rsid w:val="00B31338"/>
    <w:rsid w:val="00B3533D"/>
    <w:rsid w:val="00B4038A"/>
    <w:rsid w:val="00B4052A"/>
    <w:rsid w:val="00B42A16"/>
    <w:rsid w:val="00B434C6"/>
    <w:rsid w:val="00B443E2"/>
    <w:rsid w:val="00B443F5"/>
    <w:rsid w:val="00B468A3"/>
    <w:rsid w:val="00B50786"/>
    <w:rsid w:val="00B55C41"/>
    <w:rsid w:val="00B63E69"/>
    <w:rsid w:val="00B64BEA"/>
    <w:rsid w:val="00B67B27"/>
    <w:rsid w:val="00B717FC"/>
    <w:rsid w:val="00B7289A"/>
    <w:rsid w:val="00B74078"/>
    <w:rsid w:val="00B8381D"/>
    <w:rsid w:val="00B874D0"/>
    <w:rsid w:val="00B9413F"/>
    <w:rsid w:val="00BA007B"/>
    <w:rsid w:val="00BA1A1B"/>
    <w:rsid w:val="00BA23A2"/>
    <w:rsid w:val="00BA4979"/>
    <w:rsid w:val="00BA5578"/>
    <w:rsid w:val="00BA6E45"/>
    <w:rsid w:val="00BA763F"/>
    <w:rsid w:val="00BB394D"/>
    <w:rsid w:val="00BB3FBA"/>
    <w:rsid w:val="00BB6435"/>
    <w:rsid w:val="00BC2D4F"/>
    <w:rsid w:val="00BC4976"/>
    <w:rsid w:val="00BC5979"/>
    <w:rsid w:val="00BD4BBC"/>
    <w:rsid w:val="00BE07A2"/>
    <w:rsid w:val="00BE2B7C"/>
    <w:rsid w:val="00BE70B6"/>
    <w:rsid w:val="00BF5902"/>
    <w:rsid w:val="00C02BD2"/>
    <w:rsid w:val="00C060EF"/>
    <w:rsid w:val="00C110D1"/>
    <w:rsid w:val="00C14824"/>
    <w:rsid w:val="00C20CF2"/>
    <w:rsid w:val="00C23301"/>
    <w:rsid w:val="00C23CB4"/>
    <w:rsid w:val="00C311C5"/>
    <w:rsid w:val="00C33435"/>
    <w:rsid w:val="00C336E8"/>
    <w:rsid w:val="00C33A34"/>
    <w:rsid w:val="00C33B89"/>
    <w:rsid w:val="00C33F15"/>
    <w:rsid w:val="00C430E2"/>
    <w:rsid w:val="00C447BD"/>
    <w:rsid w:val="00C47493"/>
    <w:rsid w:val="00C4767D"/>
    <w:rsid w:val="00C50515"/>
    <w:rsid w:val="00C507F2"/>
    <w:rsid w:val="00C50A13"/>
    <w:rsid w:val="00C5215A"/>
    <w:rsid w:val="00C53016"/>
    <w:rsid w:val="00C57791"/>
    <w:rsid w:val="00C618D8"/>
    <w:rsid w:val="00C62830"/>
    <w:rsid w:val="00C65231"/>
    <w:rsid w:val="00C656CB"/>
    <w:rsid w:val="00C668E2"/>
    <w:rsid w:val="00C67374"/>
    <w:rsid w:val="00C714ED"/>
    <w:rsid w:val="00C715DD"/>
    <w:rsid w:val="00C723E3"/>
    <w:rsid w:val="00C755A8"/>
    <w:rsid w:val="00C85570"/>
    <w:rsid w:val="00C90852"/>
    <w:rsid w:val="00C9331C"/>
    <w:rsid w:val="00CA12C1"/>
    <w:rsid w:val="00CA1438"/>
    <w:rsid w:val="00CA1B4F"/>
    <w:rsid w:val="00CB0189"/>
    <w:rsid w:val="00CB185E"/>
    <w:rsid w:val="00CB2B2C"/>
    <w:rsid w:val="00CB3F7F"/>
    <w:rsid w:val="00CB4E86"/>
    <w:rsid w:val="00CB566C"/>
    <w:rsid w:val="00CB7284"/>
    <w:rsid w:val="00CC32D6"/>
    <w:rsid w:val="00CD3797"/>
    <w:rsid w:val="00CD4C8A"/>
    <w:rsid w:val="00CD6630"/>
    <w:rsid w:val="00CF2304"/>
    <w:rsid w:val="00CF44D5"/>
    <w:rsid w:val="00CF6720"/>
    <w:rsid w:val="00D0074D"/>
    <w:rsid w:val="00D07CE4"/>
    <w:rsid w:val="00D1056C"/>
    <w:rsid w:val="00D13B07"/>
    <w:rsid w:val="00D16DF3"/>
    <w:rsid w:val="00D17DA3"/>
    <w:rsid w:val="00D21687"/>
    <w:rsid w:val="00D22017"/>
    <w:rsid w:val="00D25FA1"/>
    <w:rsid w:val="00D266CD"/>
    <w:rsid w:val="00D3126B"/>
    <w:rsid w:val="00D34EAD"/>
    <w:rsid w:val="00D371F4"/>
    <w:rsid w:val="00D37201"/>
    <w:rsid w:val="00D4039C"/>
    <w:rsid w:val="00D406F1"/>
    <w:rsid w:val="00D4100A"/>
    <w:rsid w:val="00D44004"/>
    <w:rsid w:val="00D44669"/>
    <w:rsid w:val="00D47576"/>
    <w:rsid w:val="00D501C6"/>
    <w:rsid w:val="00D51368"/>
    <w:rsid w:val="00D51947"/>
    <w:rsid w:val="00D54E72"/>
    <w:rsid w:val="00D60200"/>
    <w:rsid w:val="00D6247D"/>
    <w:rsid w:val="00D62A67"/>
    <w:rsid w:val="00D6413B"/>
    <w:rsid w:val="00D67A96"/>
    <w:rsid w:val="00D70873"/>
    <w:rsid w:val="00D713CE"/>
    <w:rsid w:val="00D71E21"/>
    <w:rsid w:val="00D72F78"/>
    <w:rsid w:val="00D74756"/>
    <w:rsid w:val="00D806B3"/>
    <w:rsid w:val="00D80B02"/>
    <w:rsid w:val="00D82BD8"/>
    <w:rsid w:val="00D84B0A"/>
    <w:rsid w:val="00D93456"/>
    <w:rsid w:val="00D97C80"/>
    <w:rsid w:val="00DA1271"/>
    <w:rsid w:val="00DA35E4"/>
    <w:rsid w:val="00DA5358"/>
    <w:rsid w:val="00DB62E9"/>
    <w:rsid w:val="00DB6339"/>
    <w:rsid w:val="00DC0867"/>
    <w:rsid w:val="00DC0F9A"/>
    <w:rsid w:val="00DC65F2"/>
    <w:rsid w:val="00DC7345"/>
    <w:rsid w:val="00DC7529"/>
    <w:rsid w:val="00DD1C05"/>
    <w:rsid w:val="00DE1843"/>
    <w:rsid w:val="00DE1AF6"/>
    <w:rsid w:val="00DE5214"/>
    <w:rsid w:val="00DF284A"/>
    <w:rsid w:val="00DF6606"/>
    <w:rsid w:val="00E01F0B"/>
    <w:rsid w:val="00E03BAA"/>
    <w:rsid w:val="00E05E1B"/>
    <w:rsid w:val="00E06978"/>
    <w:rsid w:val="00E1076B"/>
    <w:rsid w:val="00E1424E"/>
    <w:rsid w:val="00E14BB7"/>
    <w:rsid w:val="00E1505A"/>
    <w:rsid w:val="00E163B2"/>
    <w:rsid w:val="00E21B96"/>
    <w:rsid w:val="00E25320"/>
    <w:rsid w:val="00E25BD8"/>
    <w:rsid w:val="00E30984"/>
    <w:rsid w:val="00E41F13"/>
    <w:rsid w:val="00E42493"/>
    <w:rsid w:val="00E43DBE"/>
    <w:rsid w:val="00E44D77"/>
    <w:rsid w:val="00E470B3"/>
    <w:rsid w:val="00E5039E"/>
    <w:rsid w:val="00E51068"/>
    <w:rsid w:val="00E56AFA"/>
    <w:rsid w:val="00E6171C"/>
    <w:rsid w:val="00E65DED"/>
    <w:rsid w:val="00E65F3C"/>
    <w:rsid w:val="00E66446"/>
    <w:rsid w:val="00E72D61"/>
    <w:rsid w:val="00E74301"/>
    <w:rsid w:val="00E84AC9"/>
    <w:rsid w:val="00E862CE"/>
    <w:rsid w:val="00E8741E"/>
    <w:rsid w:val="00E909B1"/>
    <w:rsid w:val="00E96075"/>
    <w:rsid w:val="00E9617D"/>
    <w:rsid w:val="00EA35FD"/>
    <w:rsid w:val="00EB0A32"/>
    <w:rsid w:val="00EB0F81"/>
    <w:rsid w:val="00EB3A27"/>
    <w:rsid w:val="00EB58A5"/>
    <w:rsid w:val="00EB668B"/>
    <w:rsid w:val="00EB72CC"/>
    <w:rsid w:val="00EC464D"/>
    <w:rsid w:val="00EC5A05"/>
    <w:rsid w:val="00EC683E"/>
    <w:rsid w:val="00ED2856"/>
    <w:rsid w:val="00EE04D9"/>
    <w:rsid w:val="00EE25B8"/>
    <w:rsid w:val="00EE680E"/>
    <w:rsid w:val="00EF01E9"/>
    <w:rsid w:val="00EF1FB4"/>
    <w:rsid w:val="00EF3F85"/>
    <w:rsid w:val="00EF50B3"/>
    <w:rsid w:val="00EF6E26"/>
    <w:rsid w:val="00EF7858"/>
    <w:rsid w:val="00F11EC2"/>
    <w:rsid w:val="00F12A1D"/>
    <w:rsid w:val="00F12B03"/>
    <w:rsid w:val="00F20EA6"/>
    <w:rsid w:val="00F255D3"/>
    <w:rsid w:val="00F271E7"/>
    <w:rsid w:val="00F27323"/>
    <w:rsid w:val="00F3065A"/>
    <w:rsid w:val="00F31244"/>
    <w:rsid w:val="00F341F1"/>
    <w:rsid w:val="00F37C24"/>
    <w:rsid w:val="00F45299"/>
    <w:rsid w:val="00F45730"/>
    <w:rsid w:val="00F56EF0"/>
    <w:rsid w:val="00F71F2A"/>
    <w:rsid w:val="00F86D5A"/>
    <w:rsid w:val="00F909AB"/>
    <w:rsid w:val="00F91202"/>
    <w:rsid w:val="00F92E2B"/>
    <w:rsid w:val="00F93680"/>
    <w:rsid w:val="00F95EFA"/>
    <w:rsid w:val="00FA260B"/>
    <w:rsid w:val="00FA32F3"/>
    <w:rsid w:val="00FA6973"/>
    <w:rsid w:val="00FB17D5"/>
    <w:rsid w:val="00FB506B"/>
    <w:rsid w:val="00FC6DB0"/>
    <w:rsid w:val="00FC7102"/>
    <w:rsid w:val="00FD12ED"/>
    <w:rsid w:val="00FD2223"/>
    <w:rsid w:val="00FD6D47"/>
    <w:rsid w:val="00FD755D"/>
    <w:rsid w:val="00FE3D5C"/>
    <w:rsid w:val="00FE3F63"/>
    <w:rsid w:val="00FE78B2"/>
    <w:rsid w:val="00FF30A0"/>
    <w:rsid w:val="00FF5C11"/>
    <w:rsid w:val="00FF6E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1AB2A6"/>
  <w15:docId w15:val="{8CDD34C7-5237-4B1A-925A-3A5F369D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4A"/>
    <w:rPr>
      <w:sz w:val="24"/>
      <w:szCs w:val="24"/>
      <w:lang w:val="nl-NL" w:eastAsia="nl-NL"/>
    </w:rPr>
  </w:style>
  <w:style w:type="paragraph" w:styleId="Titre1">
    <w:name w:val="heading 1"/>
    <w:basedOn w:val="Normal"/>
    <w:next w:val="Normal"/>
    <w:qFormat/>
    <w:rsid w:val="001E6EC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1E6EC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F0D98"/>
    <w:pPr>
      <w:keepNext/>
      <w:numPr>
        <w:ilvl w:val="1"/>
        <w:numId w:val="2"/>
      </w:numPr>
      <w:outlineLvl w:val="2"/>
    </w:pPr>
    <w:rPr>
      <w:rFonts w:cs="Arial"/>
      <w:b/>
      <w:bCs/>
      <w:szCs w:val="26"/>
      <w:lang w:val="en-GB" w:eastAsia="en-US"/>
    </w:rPr>
  </w:style>
  <w:style w:type="paragraph" w:styleId="Titre4">
    <w:name w:val="heading 4"/>
    <w:basedOn w:val="Normal"/>
    <w:next w:val="Normal"/>
    <w:qFormat/>
    <w:rsid w:val="001E6ECB"/>
    <w:pPr>
      <w:keepNext/>
      <w:spacing w:before="240" w:after="60"/>
      <w:outlineLvl w:val="3"/>
    </w:pPr>
    <w:rPr>
      <w:b/>
      <w:bCs/>
      <w:sz w:val="28"/>
      <w:szCs w:val="28"/>
    </w:rPr>
  </w:style>
  <w:style w:type="paragraph" w:styleId="Titre5">
    <w:name w:val="heading 5"/>
    <w:basedOn w:val="Normal"/>
    <w:next w:val="Normal"/>
    <w:qFormat/>
    <w:rsid w:val="003F0D98"/>
    <w:pPr>
      <w:keepNext/>
      <w:numPr>
        <w:numId w:val="2"/>
      </w:numPr>
      <w:outlineLvl w:val="4"/>
    </w:pPr>
    <w:rPr>
      <w:b/>
      <w:caps/>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2C1DA7"/>
    <w:rPr>
      <w:vertAlign w:val="superscript"/>
    </w:rPr>
  </w:style>
  <w:style w:type="character" w:styleId="Marquedecommentaire">
    <w:name w:val="annotation reference"/>
    <w:basedOn w:val="Policepardfaut"/>
    <w:semiHidden/>
    <w:rsid w:val="002E1739"/>
    <w:rPr>
      <w:sz w:val="16"/>
      <w:szCs w:val="16"/>
    </w:rPr>
  </w:style>
  <w:style w:type="paragraph" w:styleId="Commentaire">
    <w:name w:val="annotation text"/>
    <w:basedOn w:val="Normal"/>
    <w:semiHidden/>
    <w:rsid w:val="002E1739"/>
    <w:rPr>
      <w:sz w:val="20"/>
      <w:szCs w:val="20"/>
    </w:rPr>
  </w:style>
  <w:style w:type="paragraph" w:styleId="Objetducommentaire">
    <w:name w:val="annotation subject"/>
    <w:basedOn w:val="Commentaire"/>
    <w:next w:val="Commentaire"/>
    <w:semiHidden/>
    <w:rsid w:val="002E1739"/>
    <w:rPr>
      <w:b/>
      <w:bCs/>
    </w:rPr>
  </w:style>
  <w:style w:type="paragraph" w:styleId="Textedebulles">
    <w:name w:val="Balloon Text"/>
    <w:basedOn w:val="Normal"/>
    <w:semiHidden/>
    <w:rsid w:val="002E1739"/>
    <w:rPr>
      <w:rFonts w:ascii="Tahoma" w:hAnsi="Tahoma" w:cs="Tahoma"/>
      <w:sz w:val="16"/>
      <w:szCs w:val="16"/>
    </w:rPr>
  </w:style>
  <w:style w:type="paragraph" w:styleId="Notedebasdepage">
    <w:name w:val="footnote text"/>
    <w:basedOn w:val="Normal"/>
    <w:semiHidden/>
    <w:rsid w:val="00824319"/>
    <w:rPr>
      <w:sz w:val="20"/>
      <w:szCs w:val="20"/>
    </w:rPr>
  </w:style>
  <w:style w:type="character" w:styleId="Appelnotedebasdep">
    <w:name w:val="footnote reference"/>
    <w:basedOn w:val="Policepardfaut"/>
    <w:semiHidden/>
    <w:rsid w:val="00824319"/>
    <w:rPr>
      <w:vertAlign w:val="superscript"/>
    </w:rPr>
  </w:style>
  <w:style w:type="character" w:styleId="Lienhypertexte">
    <w:name w:val="Hyperlink"/>
    <w:basedOn w:val="Policepardfaut"/>
    <w:rsid w:val="00D44004"/>
    <w:rPr>
      <w:color w:val="0000FF"/>
      <w:u w:val="single"/>
    </w:rPr>
  </w:style>
  <w:style w:type="table" w:styleId="Grilledutableau">
    <w:name w:val="Table Grid"/>
    <w:basedOn w:val="TableauNormal"/>
    <w:rsid w:val="00D93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666FE4"/>
    <w:pPr>
      <w:tabs>
        <w:tab w:val="left" w:pos="567"/>
      </w:tabs>
      <w:jc w:val="both"/>
    </w:pPr>
    <w:rPr>
      <w:b/>
      <w:bCs/>
      <w:sz w:val="22"/>
      <w:szCs w:val="20"/>
      <w:lang w:val="en-GB" w:eastAsia="en-US"/>
    </w:rPr>
  </w:style>
  <w:style w:type="paragraph" w:styleId="Notedefin">
    <w:name w:val="endnote text"/>
    <w:basedOn w:val="Normal"/>
    <w:semiHidden/>
    <w:rsid w:val="002B6446"/>
    <w:rPr>
      <w:sz w:val="20"/>
      <w:szCs w:val="20"/>
    </w:rPr>
  </w:style>
  <w:style w:type="paragraph" w:styleId="NormalWeb">
    <w:name w:val="Normal (Web)"/>
    <w:basedOn w:val="Normal"/>
    <w:rsid w:val="001E6ECB"/>
    <w:pPr>
      <w:spacing w:before="100" w:beforeAutospacing="1" w:after="100" w:afterAutospacing="1" w:line="336" w:lineRule="auto"/>
    </w:pPr>
    <w:rPr>
      <w:lang w:val="en-US" w:eastAsia="en-US"/>
    </w:rPr>
  </w:style>
  <w:style w:type="paragraph" w:styleId="Paragraphedeliste">
    <w:name w:val="List Paragraph"/>
    <w:basedOn w:val="Normal"/>
    <w:uiPriority w:val="34"/>
    <w:qFormat/>
    <w:rsid w:val="003D0A6A"/>
    <w:pPr>
      <w:ind w:left="720"/>
    </w:pPr>
  </w:style>
  <w:style w:type="paragraph" w:customStyle="1" w:styleId="Default">
    <w:name w:val="Default"/>
    <w:rsid w:val="00E51068"/>
    <w:pPr>
      <w:autoSpaceDE w:val="0"/>
      <w:autoSpaceDN w:val="0"/>
      <w:adjustRightInd w:val="0"/>
    </w:pPr>
    <w:rPr>
      <w:color w:val="000000"/>
      <w:sz w:val="24"/>
      <w:szCs w:val="24"/>
      <w:lang w:val="en-US" w:eastAsia="en-US"/>
    </w:rPr>
  </w:style>
  <w:style w:type="paragraph" w:styleId="En-tte">
    <w:name w:val="header"/>
    <w:basedOn w:val="Normal"/>
    <w:link w:val="En-tteCar"/>
    <w:uiPriority w:val="99"/>
    <w:unhideWhenUsed/>
    <w:rsid w:val="00474D3D"/>
    <w:pPr>
      <w:tabs>
        <w:tab w:val="center" w:pos="4536"/>
        <w:tab w:val="right" w:pos="9072"/>
      </w:tabs>
    </w:pPr>
  </w:style>
  <w:style w:type="character" w:customStyle="1" w:styleId="En-tteCar">
    <w:name w:val="En-tête Car"/>
    <w:basedOn w:val="Policepardfaut"/>
    <w:link w:val="En-tte"/>
    <w:uiPriority w:val="99"/>
    <w:rsid w:val="00474D3D"/>
    <w:rPr>
      <w:sz w:val="24"/>
      <w:szCs w:val="24"/>
      <w:lang w:val="nl-NL" w:eastAsia="nl-NL"/>
    </w:rPr>
  </w:style>
  <w:style w:type="paragraph" w:styleId="Pieddepage">
    <w:name w:val="footer"/>
    <w:basedOn w:val="Normal"/>
    <w:link w:val="PieddepageCar"/>
    <w:uiPriority w:val="99"/>
    <w:unhideWhenUsed/>
    <w:rsid w:val="00474D3D"/>
    <w:pPr>
      <w:tabs>
        <w:tab w:val="center" w:pos="4536"/>
        <w:tab w:val="right" w:pos="9072"/>
      </w:tabs>
    </w:pPr>
  </w:style>
  <w:style w:type="character" w:customStyle="1" w:styleId="PieddepageCar">
    <w:name w:val="Pied de page Car"/>
    <w:basedOn w:val="Policepardfaut"/>
    <w:link w:val="Pieddepage"/>
    <w:uiPriority w:val="99"/>
    <w:rsid w:val="00474D3D"/>
    <w:rPr>
      <w:sz w:val="24"/>
      <w:szCs w:val="24"/>
      <w:lang w:val="nl-NL" w:eastAsia="nl-NL"/>
    </w:rPr>
  </w:style>
  <w:style w:type="character" w:styleId="Lienhypertextesuivivisit">
    <w:name w:val="FollowedHyperlink"/>
    <w:basedOn w:val="Policepardfaut"/>
    <w:semiHidden/>
    <w:unhideWhenUsed/>
    <w:rsid w:val="006215A4"/>
    <w:rPr>
      <w:color w:val="800080" w:themeColor="followedHyperlink"/>
      <w:u w:val="single"/>
    </w:rPr>
  </w:style>
  <w:style w:type="paragraph" w:styleId="Rvision">
    <w:name w:val="Revision"/>
    <w:hidden/>
    <w:uiPriority w:val="99"/>
    <w:semiHidden/>
    <w:rsid w:val="00142DDB"/>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9652">
      <w:bodyDiv w:val="1"/>
      <w:marLeft w:val="0"/>
      <w:marRight w:val="0"/>
      <w:marTop w:val="0"/>
      <w:marBottom w:val="0"/>
      <w:divBdr>
        <w:top w:val="none" w:sz="0" w:space="0" w:color="auto"/>
        <w:left w:val="none" w:sz="0" w:space="0" w:color="auto"/>
        <w:bottom w:val="none" w:sz="0" w:space="0" w:color="auto"/>
        <w:right w:val="none" w:sz="0" w:space="0" w:color="auto"/>
      </w:divBdr>
      <w:divsChild>
        <w:div w:id="1856187472">
          <w:marLeft w:val="0"/>
          <w:marRight w:val="0"/>
          <w:marTop w:val="0"/>
          <w:marBottom w:val="0"/>
          <w:divBdr>
            <w:top w:val="none" w:sz="0" w:space="0" w:color="auto"/>
            <w:left w:val="none" w:sz="0" w:space="0" w:color="auto"/>
            <w:bottom w:val="single" w:sz="6" w:space="0" w:color="BBBBBB"/>
            <w:right w:val="none" w:sz="0" w:space="0" w:color="auto"/>
          </w:divBdr>
          <w:divsChild>
            <w:div w:id="995765734">
              <w:marLeft w:val="0"/>
              <w:marRight w:val="0"/>
              <w:marTop w:val="0"/>
              <w:marBottom w:val="0"/>
              <w:divBdr>
                <w:top w:val="none" w:sz="0" w:space="0" w:color="auto"/>
                <w:left w:val="none" w:sz="0" w:space="0" w:color="auto"/>
                <w:bottom w:val="none" w:sz="0" w:space="0" w:color="auto"/>
                <w:right w:val="none" w:sz="0" w:space="0" w:color="auto"/>
              </w:divBdr>
              <w:divsChild>
                <w:div w:id="1280990202">
                  <w:marLeft w:val="0"/>
                  <w:marRight w:val="0"/>
                  <w:marTop w:val="0"/>
                  <w:marBottom w:val="0"/>
                  <w:divBdr>
                    <w:top w:val="none" w:sz="0" w:space="0" w:color="auto"/>
                    <w:left w:val="none" w:sz="0" w:space="0" w:color="auto"/>
                    <w:bottom w:val="none" w:sz="0" w:space="0" w:color="auto"/>
                    <w:right w:val="none" w:sz="0" w:space="0" w:color="auto"/>
                  </w:divBdr>
                  <w:divsChild>
                    <w:div w:id="28578256">
                      <w:marLeft w:val="0"/>
                      <w:marRight w:val="0"/>
                      <w:marTop w:val="120"/>
                      <w:marBottom w:val="0"/>
                      <w:divBdr>
                        <w:top w:val="none" w:sz="0" w:space="0" w:color="auto"/>
                        <w:left w:val="none" w:sz="0" w:space="0" w:color="auto"/>
                        <w:bottom w:val="none" w:sz="0" w:space="0" w:color="auto"/>
                        <w:right w:val="none" w:sz="0" w:space="0" w:color="auto"/>
                      </w:divBdr>
                    </w:div>
                    <w:div w:id="1100758082">
                      <w:marLeft w:val="0"/>
                      <w:marRight w:val="0"/>
                      <w:marTop w:val="0"/>
                      <w:marBottom w:val="0"/>
                      <w:divBdr>
                        <w:top w:val="none" w:sz="0" w:space="0" w:color="auto"/>
                        <w:left w:val="none" w:sz="0" w:space="0" w:color="auto"/>
                        <w:bottom w:val="none" w:sz="0" w:space="0" w:color="auto"/>
                        <w:right w:val="none" w:sz="0" w:space="0" w:color="auto"/>
                      </w:divBdr>
                    </w:div>
                    <w:div w:id="1790124684">
                      <w:marLeft w:val="0"/>
                      <w:marRight w:val="0"/>
                      <w:marTop w:val="0"/>
                      <w:marBottom w:val="0"/>
                      <w:divBdr>
                        <w:top w:val="none" w:sz="0" w:space="0" w:color="auto"/>
                        <w:left w:val="none" w:sz="0" w:space="0" w:color="auto"/>
                        <w:bottom w:val="none" w:sz="0" w:space="0" w:color="auto"/>
                        <w:right w:val="none" w:sz="0" w:space="0" w:color="auto"/>
                      </w:divBdr>
                    </w:div>
                    <w:div w:id="18153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00023">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8">
          <w:marLeft w:val="0"/>
          <w:marRight w:val="0"/>
          <w:marTop w:val="0"/>
          <w:marBottom w:val="0"/>
          <w:divBdr>
            <w:top w:val="none" w:sz="0" w:space="0" w:color="auto"/>
            <w:left w:val="none" w:sz="0" w:space="0" w:color="auto"/>
            <w:bottom w:val="single" w:sz="6" w:space="0" w:color="BBBBBB"/>
            <w:right w:val="none" w:sz="0" w:space="0" w:color="auto"/>
          </w:divBdr>
          <w:divsChild>
            <w:div w:id="1437216150">
              <w:marLeft w:val="0"/>
              <w:marRight w:val="0"/>
              <w:marTop w:val="0"/>
              <w:marBottom w:val="0"/>
              <w:divBdr>
                <w:top w:val="none" w:sz="0" w:space="0" w:color="auto"/>
                <w:left w:val="none" w:sz="0" w:space="0" w:color="auto"/>
                <w:bottom w:val="none" w:sz="0" w:space="0" w:color="auto"/>
                <w:right w:val="none" w:sz="0" w:space="0" w:color="auto"/>
              </w:divBdr>
              <w:divsChild>
                <w:div w:id="169956810">
                  <w:marLeft w:val="0"/>
                  <w:marRight w:val="0"/>
                  <w:marTop w:val="0"/>
                  <w:marBottom w:val="0"/>
                  <w:divBdr>
                    <w:top w:val="none" w:sz="0" w:space="0" w:color="auto"/>
                    <w:left w:val="none" w:sz="0" w:space="0" w:color="auto"/>
                    <w:bottom w:val="none" w:sz="0" w:space="0" w:color="auto"/>
                    <w:right w:val="none" w:sz="0" w:space="0" w:color="auto"/>
                  </w:divBdr>
                  <w:divsChild>
                    <w:div w:id="176164290">
                      <w:marLeft w:val="0"/>
                      <w:marRight w:val="0"/>
                      <w:marTop w:val="120"/>
                      <w:marBottom w:val="0"/>
                      <w:divBdr>
                        <w:top w:val="none" w:sz="0" w:space="0" w:color="auto"/>
                        <w:left w:val="none" w:sz="0" w:space="0" w:color="auto"/>
                        <w:bottom w:val="none" w:sz="0" w:space="0" w:color="auto"/>
                        <w:right w:val="none" w:sz="0" w:space="0" w:color="auto"/>
                      </w:divBdr>
                    </w:div>
                    <w:div w:id="13147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19805">
      <w:bodyDiv w:val="1"/>
      <w:marLeft w:val="0"/>
      <w:marRight w:val="0"/>
      <w:marTop w:val="0"/>
      <w:marBottom w:val="0"/>
      <w:divBdr>
        <w:top w:val="none" w:sz="0" w:space="0" w:color="auto"/>
        <w:left w:val="none" w:sz="0" w:space="0" w:color="auto"/>
        <w:bottom w:val="none" w:sz="0" w:space="0" w:color="auto"/>
        <w:right w:val="none" w:sz="0" w:space="0" w:color="auto"/>
      </w:divBdr>
      <w:divsChild>
        <w:div w:id="1526285769">
          <w:marLeft w:val="0"/>
          <w:marRight w:val="0"/>
          <w:marTop w:val="0"/>
          <w:marBottom w:val="0"/>
          <w:divBdr>
            <w:top w:val="none" w:sz="0" w:space="0" w:color="auto"/>
            <w:left w:val="none" w:sz="0" w:space="0" w:color="auto"/>
            <w:bottom w:val="none" w:sz="0" w:space="0" w:color="auto"/>
            <w:right w:val="none" w:sz="0" w:space="0" w:color="auto"/>
          </w:divBdr>
          <w:divsChild>
            <w:div w:id="93016819">
              <w:marLeft w:val="0"/>
              <w:marRight w:val="0"/>
              <w:marTop w:val="0"/>
              <w:marBottom w:val="0"/>
              <w:divBdr>
                <w:top w:val="none" w:sz="0" w:space="0" w:color="auto"/>
                <w:left w:val="none" w:sz="0" w:space="0" w:color="auto"/>
                <w:bottom w:val="none" w:sz="0" w:space="0" w:color="auto"/>
                <w:right w:val="none" w:sz="0" w:space="0" w:color="auto"/>
              </w:divBdr>
              <w:divsChild>
                <w:div w:id="1699427001">
                  <w:marLeft w:val="0"/>
                  <w:marRight w:val="0"/>
                  <w:marTop w:val="0"/>
                  <w:marBottom w:val="0"/>
                  <w:divBdr>
                    <w:top w:val="none" w:sz="0" w:space="0" w:color="auto"/>
                    <w:left w:val="none" w:sz="0" w:space="0" w:color="auto"/>
                    <w:bottom w:val="none" w:sz="0" w:space="0" w:color="auto"/>
                    <w:right w:val="none" w:sz="0" w:space="0" w:color="auto"/>
                  </w:divBdr>
                  <w:divsChild>
                    <w:div w:id="838275446">
                      <w:marLeft w:val="0"/>
                      <w:marRight w:val="0"/>
                      <w:marTop w:val="0"/>
                      <w:marBottom w:val="0"/>
                      <w:divBdr>
                        <w:top w:val="none" w:sz="0" w:space="0" w:color="auto"/>
                        <w:left w:val="none" w:sz="0" w:space="0" w:color="auto"/>
                        <w:bottom w:val="none" w:sz="0" w:space="0" w:color="auto"/>
                        <w:right w:val="none" w:sz="0" w:space="0" w:color="auto"/>
                      </w:divBdr>
                      <w:divsChild>
                        <w:div w:id="1982999523">
                          <w:marLeft w:val="0"/>
                          <w:marRight w:val="0"/>
                          <w:marTop w:val="0"/>
                          <w:marBottom w:val="0"/>
                          <w:divBdr>
                            <w:top w:val="none" w:sz="0" w:space="0" w:color="auto"/>
                            <w:left w:val="none" w:sz="0" w:space="0" w:color="auto"/>
                            <w:bottom w:val="none" w:sz="0" w:space="0" w:color="auto"/>
                            <w:right w:val="none" w:sz="0" w:space="0" w:color="auto"/>
                          </w:divBdr>
                          <w:divsChild>
                            <w:div w:id="567496682">
                              <w:marLeft w:val="0"/>
                              <w:marRight w:val="0"/>
                              <w:marTop w:val="0"/>
                              <w:marBottom w:val="0"/>
                              <w:divBdr>
                                <w:top w:val="none" w:sz="0" w:space="0" w:color="auto"/>
                                <w:left w:val="none" w:sz="0" w:space="0" w:color="auto"/>
                                <w:bottom w:val="none" w:sz="0" w:space="0" w:color="auto"/>
                                <w:right w:val="none" w:sz="0" w:space="0" w:color="auto"/>
                              </w:divBdr>
                              <w:divsChild>
                                <w:div w:id="702753409">
                                  <w:marLeft w:val="0"/>
                                  <w:marRight w:val="0"/>
                                  <w:marTop w:val="0"/>
                                  <w:marBottom w:val="0"/>
                                  <w:divBdr>
                                    <w:top w:val="none" w:sz="0" w:space="0" w:color="auto"/>
                                    <w:left w:val="none" w:sz="0" w:space="0" w:color="auto"/>
                                    <w:bottom w:val="none" w:sz="0" w:space="0" w:color="auto"/>
                                    <w:right w:val="none" w:sz="0" w:space="0" w:color="auto"/>
                                  </w:divBdr>
                                  <w:divsChild>
                                    <w:div w:id="849026922">
                                      <w:marLeft w:val="0"/>
                                      <w:marRight w:val="0"/>
                                      <w:marTop w:val="0"/>
                                      <w:marBottom w:val="0"/>
                                      <w:divBdr>
                                        <w:top w:val="single" w:sz="6" w:space="0" w:color="F5F5F5"/>
                                        <w:left w:val="single" w:sz="6" w:space="0" w:color="F5F5F5"/>
                                        <w:bottom w:val="single" w:sz="6" w:space="0" w:color="F5F5F5"/>
                                        <w:right w:val="single" w:sz="6" w:space="0" w:color="F5F5F5"/>
                                      </w:divBdr>
                                      <w:divsChild>
                                        <w:div w:id="1142969454">
                                          <w:marLeft w:val="0"/>
                                          <w:marRight w:val="0"/>
                                          <w:marTop w:val="0"/>
                                          <w:marBottom w:val="0"/>
                                          <w:divBdr>
                                            <w:top w:val="none" w:sz="0" w:space="0" w:color="auto"/>
                                            <w:left w:val="none" w:sz="0" w:space="0" w:color="auto"/>
                                            <w:bottom w:val="none" w:sz="0" w:space="0" w:color="auto"/>
                                            <w:right w:val="none" w:sz="0" w:space="0" w:color="auto"/>
                                          </w:divBdr>
                                          <w:divsChild>
                                            <w:div w:id="8302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025708">
      <w:bodyDiv w:val="1"/>
      <w:marLeft w:val="0"/>
      <w:marRight w:val="0"/>
      <w:marTop w:val="0"/>
      <w:marBottom w:val="0"/>
      <w:divBdr>
        <w:top w:val="none" w:sz="0" w:space="0" w:color="auto"/>
        <w:left w:val="none" w:sz="0" w:space="0" w:color="auto"/>
        <w:bottom w:val="none" w:sz="0" w:space="0" w:color="auto"/>
        <w:right w:val="none" w:sz="0" w:space="0" w:color="auto"/>
      </w:divBdr>
      <w:divsChild>
        <w:div w:id="1236352150">
          <w:marLeft w:val="0"/>
          <w:marRight w:val="0"/>
          <w:marTop w:val="0"/>
          <w:marBottom w:val="0"/>
          <w:divBdr>
            <w:top w:val="none" w:sz="0" w:space="0" w:color="auto"/>
            <w:left w:val="none" w:sz="0" w:space="0" w:color="auto"/>
            <w:bottom w:val="single" w:sz="6" w:space="0" w:color="BBBBBB"/>
            <w:right w:val="none" w:sz="0" w:space="0" w:color="auto"/>
          </w:divBdr>
          <w:divsChild>
            <w:div w:id="1727298023">
              <w:marLeft w:val="0"/>
              <w:marRight w:val="0"/>
              <w:marTop w:val="0"/>
              <w:marBottom w:val="0"/>
              <w:divBdr>
                <w:top w:val="none" w:sz="0" w:space="0" w:color="auto"/>
                <w:left w:val="none" w:sz="0" w:space="0" w:color="auto"/>
                <w:bottom w:val="none" w:sz="0" w:space="0" w:color="auto"/>
                <w:right w:val="none" w:sz="0" w:space="0" w:color="auto"/>
              </w:divBdr>
              <w:divsChild>
                <w:div w:id="1974869567">
                  <w:marLeft w:val="0"/>
                  <w:marRight w:val="0"/>
                  <w:marTop w:val="0"/>
                  <w:marBottom w:val="0"/>
                  <w:divBdr>
                    <w:top w:val="none" w:sz="0" w:space="0" w:color="auto"/>
                    <w:left w:val="none" w:sz="0" w:space="0" w:color="auto"/>
                    <w:bottom w:val="none" w:sz="0" w:space="0" w:color="auto"/>
                    <w:right w:val="none" w:sz="0" w:space="0" w:color="auto"/>
                  </w:divBdr>
                  <w:divsChild>
                    <w:div w:id="170216650">
                      <w:marLeft w:val="0"/>
                      <w:marRight w:val="0"/>
                      <w:marTop w:val="120"/>
                      <w:marBottom w:val="0"/>
                      <w:divBdr>
                        <w:top w:val="none" w:sz="0" w:space="0" w:color="auto"/>
                        <w:left w:val="none" w:sz="0" w:space="0" w:color="auto"/>
                        <w:bottom w:val="none" w:sz="0" w:space="0" w:color="auto"/>
                        <w:right w:val="none" w:sz="0" w:space="0" w:color="auto"/>
                      </w:divBdr>
                    </w:div>
                    <w:div w:id="1471677733">
                      <w:marLeft w:val="0"/>
                      <w:marRight w:val="0"/>
                      <w:marTop w:val="0"/>
                      <w:marBottom w:val="0"/>
                      <w:divBdr>
                        <w:top w:val="none" w:sz="0" w:space="0" w:color="auto"/>
                        <w:left w:val="none" w:sz="0" w:space="0" w:color="auto"/>
                        <w:bottom w:val="none" w:sz="0" w:space="0" w:color="auto"/>
                        <w:right w:val="none" w:sz="0" w:space="0" w:color="auto"/>
                      </w:divBdr>
                    </w:div>
                    <w:div w:id="1836535899">
                      <w:marLeft w:val="0"/>
                      <w:marRight w:val="0"/>
                      <w:marTop w:val="0"/>
                      <w:marBottom w:val="0"/>
                      <w:divBdr>
                        <w:top w:val="none" w:sz="0" w:space="0" w:color="auto"/>
                        <w:left w:val="none" w:sz="0" w:space="0" w:color="auto"/>
                        <w:bottom w:val="none" w:sz="0" w:space="0" w:color="auto"/>
                        <w:right w:val="none" w:sz="0" w:space="0" w:color="auto"/>
                      </w:divBdr>
                    </w:div>
                    <w:div w:id="20254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9934">
      <w:bodyDiv w:val="1"/>
      <w:marLeft w:val="0"/>
      <w:marRight w:val="0"/>
      <w:marTop w:val="0"/>
      <w:marBottom w:val="0"/>
      <w:divBdr>
        <w:top w:val="none" w:sz="0" w:space="0" w:color="auto"/>
        <w:left w:val="none" w:sz="0" w:space="0" w:color="auto"/>
        <w:bottom w:val="none" w:sz="0" w:space="0" w:color="auto"/>
        <w:right w:val="none" w:sz="0" w:space="0" w:color="auto"/>
      </w:divBdr>
      <w:divsChild>
        <w:div w:id="865487519">
          <w:marLeft w:val="0"/>
          <w:marRight w:val="0"/>
          <w:marTop w:val="0"/>
          <w:marBottom w:val="0"/>
          <w:divBdr>
            <w:top w:val="none" w:sz="0" w:space="0" w:color="auto"/>
            <w:left w:val="none" w:sz="0" w:space="0" w:color="auto"/>
            <w:bottom w:val="single" w:sz="6" w:space="0" w:color="BBBBBB"/>
            <w:right w:val="none" w:sz="0" w:space="0" w:color="auto"/>
          </w:divBdr>
          <w:divsChild>
            <w:div w:id="2008246541">
              <w:marLeft w:val="0"/>
              <w:marRight w:val="0"/>
              <w:marTop w:val="0"/>
              <w:marBottom w:val="0"/>
              <w:divBdr>
                <w:top w:val="none" w:sz="0" w:space="0" w:color="auto"/>
                <w:left w:val="none" w:sz="0" w:space="0" w:color="auto"/>
                <w:bottom w:val="none" w:sz="0" w:space="0" w:color="auto"/>
                <w:right w:val="none" w:sz="0" w:space="0" w:color="auto"/>
              </w:divBdr>
              <w:divsChild>
                <w:div w:id="1630016423">
                  <w:marLeft w:val="0"/>
                  <w:marRight w:val="0"/>
                  <w:marTop w:val="0"/>
                  <w:marBottom w:val="0"/>
                  <w:divBdr>
                    <w:top w:val="none" w:sz="0" w:space="0" w:color="auto"/>
                    <w:left w:val="none" w:sz="0" w:space="0" w:color="auto"/>
                    <w:bottom w:val="none" w:sz="0" w:space="0" w:color="auto"/>
                    <w:right w:val="none" w:sz="0" w:space="0" w:color="auto"/>
                  </w:divBdr>
                  <w:divsChild>
                    <w:div w:id="1320574397">
                      <w:marLeft w:val="0"/>
                      <w:marRight w:val="0"/>
                      <w:marTop w:val="120"/>
                      <w:marBottom w:val="0"/>
                      <w:divBdr>
                        <w:top w:val="none" w:sz="0" w:space="0" w:color="auto"/>
                        <w:left w:val="none" w:sz="0" w:space="0" w:color="auto"/>
                        <w:bottom w:val="none" w:sz="0" w:space="0" w:color="auto"/>
                        <w:right w:val="none" w:sz="0" w:space="0" w:color="auto"/>
                      </w:divBdr>
                    </w:div>
                    <w:div w:id="1706951720">
                      <w:marLeft w:val="0"/>
                      <w:marRight w:val="0"/>
                      <w:marTop w:val="0"/>
                      <w:marBottom w:val="0"/>
                      <w:divBdr>
                        <w:top w:val="none" w:sz="0" w:space="0" w:color="auto"/>
                        <w:left w:val="none" w:sz="0" w:space="0" w:color="auto"/>
                        <w:bottom w:val="none" w:sz="0" w:space="0" w:color="auto"/>
                        <w:right w:val="none" w:sz="0" w:space="0" w:color="auto"/>
                      </w:divBdr>
                      <w:divsChild>
                        <w:div w:id="726223425">
                          <w:marLeft w:val="0"/>
                          <w:marRight w:val="0"/>
                          <w:marTop w:val="0"/>
                          <w:marBottom w:val="0"/>
                          <w:divBdr>
                            <w:top w:val="none" w:sz="0" w:space="0" w:color="auto"/>
                            <w:left w:val="none" w:sz="0" w:space="0" w:color="auto"/>
                            <w:bottom w:val="none" w:sz="0" w:space="0" w:color="auto"/>
                            <w:right w:val="none" w:sz="0" w:space="0" w:color="auto"/>
                          </w:divBdr>
                        </w:div>
                        <w:div w:id="1046487614">
                          <w:marLeft w:val="0"/>
                          <w:marRight w:val="0"/>
                          <w:marTop w:val="0"/>
                          <w:marBottom w:val="0"/>
                          <w:divBdr>
                            <w:top w:val="none" w:sz="0" w:space="0" w:color="auto"/>
                            <w:left w:val="none" w:sz="0" w:space="0" w:color="auto"/>
                            <w:bottom w:val="none" w:sz="0" w:space="0" w:color="auto"/>
                            <w:right w:val="none" w:sz="0" w:space="0" w:color="auto"/>
                          </w:divBdr>
                        </w:div>
                        <w:div w:id="1230071351">
                          <w:marLeft w:val="0"/>
                          <w:marRight w:val="0"/>
                          <w:marTop w:val="0"/>
                          <w:marBottom w:val="0"/>
                          <w:divBdr>
                            <w:top w:val="none" w:sz="0" w:space="0" w:color="auto"/>
                            <w:left w:val="none" w:sz="0" w:space="0" w:color="auto"/>
                            <w:bottom w:val="none" w:sz="0" w:space="0" w:color="auto"/>
                            <w:right w:val="none" w:sz="0" w:space="0" w:color="auto"/>
                          </w:divBdr>
                        </w:div>
                      </w:divsChild>
                    </w:div>
                    <w:div w:id="1878590808">
                      <w:marLeft w:val="0"/>
                      <w:marRight w:val="0"/>
                      <w:marTop w:val="0"/>
                      <w:marBottom w:val="0"/>
                      <w:divBdr>
                        <w:top w:val="none" w:sz="0" w:space="0" w:color="auto"/>
                        <w:left w:val="none" w:sz="0" w:space="0" w:color="auto"/>
                        <w:bottom w:val="none" w:sz="0" w:space="0" w:color="auto"/>
                        <w:right w:val="none" w:sz="0" w:space="0" w:color="auto"/>
                      </w:divBdr>
                    </w:div>
                    <w:div w:id="20353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4137">
      <w:bodyDiv w:val="1"/>
      <w:marLeft w:val="0"/>
      <w:marRight w:val="0"/>
      <w:marTop w:val="0"/>
      <w:marBottom w:val="0"/>
      <w:divBdr>
        <w:top w:val="none" w:sz="0" w:space="0" w:color="auto"/>
        <w:left w:val="none" w:sz="0" w:space="0" w:color="auto"/>
        <w:bottom w:val="none" w:sz="0" w:space="0" w:color="auto"/>
        <w:right w:val="none" w:sz="0" w:space="0" w:color="auto"/>
      </w:divBdr>
      <w:divsChild>
        <w:div w:id="343244158">
          <w:marLeft w:val="0"/>
          <w:marRight w:val="0"/>
          <w:marTop w:val="0"/>
          <w:marBottom w:val="0"/>
          <w:divBdr>
            <w:top w:val="none" w:sz="0" w:space="0" w:color="auto"/>
            <w:left w:val="none" w:sz="0" w:space="0" w:color="auto"/>
            <w:bottom w:val="single" w:sz="6" w:space="0" w:color="BBBBBB"/>
            <w:right w:val="none" w:sz="0" w:space="0" w:color="auto"/>
          </w:divBdr>
          <w:divsChild>
            <w:div w:id="1283850824">
              <w:marLeft w:val="0"/>
              <w:marRight w:val="0"/>
              <w:marTop w:val="0"/>
              <w:marBottom w:val="0"/>
              <w:divBdr>
                <w:top w:val="none" w:sz="0" w:space="0" w:color="auto"/>
                <w:left w:val="none" w:sz="0" w:space="0" w:color="auto"/>
                <w:bottom w:val="none" w:sz="0" w:space="0" w:color="auto"/>
                <w:right w:val="none" w:sz="0" w:space="0" w:color="auto"/>
              </w:divBdr>
              <w:divsChild>
                <w:div w:id="1490562960">
                  <w:marLeft w:val="0"/>
                  <w:marRight w:val="0"/>
                  <w:marTop w:val="0"/>
                  <w:marBottom w:val="0"/>
                  <w:divBdr>
                    <w:top w:val="none" w:sz="0" w:space="0" w:color="auto"/>
                    <w:left w:val="none" w:sz="0" w:space="0" w:color="auto"/>
                    <w:bottom w:val="none" w:sz="0" w:space="0" w:color="auto"/>
                    <w:right w:val="none" w:sz="0" w:space="0" w:color="auto"/>
                  </w:divBdr>
                  <w:divsChild>
                    <w:div w:id="114564644">
                      <w:marLeft w:val="0"/>
                      <w:marRight w:val="0"/>
                      <w:marTop w:val="0"/>
                      <w:marBottom w:val="0"/>
                      <w:divBdr>
                        <w:top w:val="none" w:sz="0" w:space="0" w:color="auto"/>
                        <w:left w:val="none" w:sz="0" w:space="0" w:color="auto"/>
                        <w:bottom w:val="none" w:sz="0" w:space="0" w:color="auto"/>
                        <w:right w:val="none" w:sz="0" w:space="0" w:color="auto"/>
                      </w:divBdr>
                      <w:divsChild>
                        <w:div w:id="44067230">
                          <w:marLeft w:val="0"/>
                          <w:marRight w:val="0"/>
                          <w:marTop w:val="0"/>
                          <w:marBottom w:val="0"/>
                          <w:divBdr>
                            <w:top w:val="none" w:sz="0" w:space="0" w:color="auto"/>
                            <w:left w:val="none" w:sz="0" w:space="0" w:color="auto"/>
                            <w:bottom w:val="none" w:sz="0" w:space="0" w:color="auto"/>
                            <w:right w:val="none" w:sz="0" w:space="0" w:color="auto"/>
                          </w:divBdr>
                        </w:div>
                        <w:div w:id="274530551">
                          <w:marLeft w:val="0"/>
                          <w:marRight w:val="0"/>
                          <w:marTop w:val="0"/>
                          <w:marBottom w:val="0"/>
                          <w:divBdr>
                            <w:top w:val="none" w:sz="0" w:space="0" w:color="auto"/>
                            <w:left w:val="none" w:sz="0" w:space="0" w:color="auto"/>
                            <w:bottom w:val="none" w:sz="0" w:space="0" w:color="auto"/>
                            <w:right w:val="none" w:sz="0" w:space="0" w:color="auto"/>
                          </w:divBdr>
                        </w:div>
                        <w:div w:id="2011525401">
                          <w:marLeft w:val="0"/>
                          <w:marRight w:val="0"/>
                          <w:marTop w:val="0"/>
                          <w:marBottom w:val="0"/>
                          <w:divBdr>
                            <w:top w:val="none" w:sz="0" w:space="0" w:color="auto"/>
                            <w:left w:val="none" w:sz="0" w:space="0" w:color="auto"/>
                            <w:bottom w:val="none" w:sz="0" w:space="0" w:color="auto"/>
                            <w:right w:val="none" w:sz="0" w:space="0" w:color="auto"/>
                          </w:divBdr>
                        </w:div>
                      </w:divsChild>
                    </w:div>
                    <w:div w:id="270284980">
                      <w:marLeft w:val="0"/>
                      <w:marRight w:val="0"/>
                      <w:marTop w:val="0"/>
                      <w:marBottom w:val="0"/>
                      <w:divBdr>
                        <w:top w:val="none" w:sz="0" w:space="0" w:color="auto"/>
                        <w:left w:val="none" w:sz="0" w:space="0" w:color="auto"/>
                        <w:bottom w:val="none" w:sz="0" w:space="0" w:color="auto"/>
                        <w:right w:val="none" w:sz="0" w:space="0" w:color="auto"/>
                      </w:divBdr>
                    </w:div>
                    <w:div w:id="391853090">
                      <w:marLeft w:val="0"/>
                      <w:marRight w:val="0"/>
                      <w:marTop w:val="120"/>
                      <w:marBottom w:val="0"/>
                      <w:divBdr>
                        <w:top w:val="none" w:sz="0" w:space="0" w:color="auto"/>
                        <w:left w:val="none" w:sz="0" w:space="0" w:color="auto"/>
                        <w:bottom w:val="none" w:sz="0" w:space="0" w:color="auto"/>
                        <w:right w:val="none" w:sz="0" w:space="0" w:color="auto"/>
                      </w:divBdr>
                    </w:div>
                    <w:div w:id="14971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1964032530&amp;table_name=wet" TargetMode="External"/><Relationship Id="rId13" Type="http://schemas.openxmlformats.org/officeDocument/2006/relationships/hyperlink" Target="http://www.hma.eu/222.html" TargetMode="External"/><Relationship Id="rId18" Type="http://schemas.openxmlformats.org/officeDocument/2006/relationships/hyperlink" Target="https://www.ema.europa.eu/en/documents/prac-recommendation/prac-recommendations-signals-adopted-25-29-september-2017-prac-meeting_en.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ma.europa.eu/en/documents/prac-recommendation/prac-recommendations-signals-adopted-12-15-march-2019-prac-meeting_en.pdf" TargetMode="External"/><Relationship Id="rId17" Type="http://schemas.openxmlformats.org/officeDocument/2006/relationships/hyperlink" Target="https://www.ema.europa.eu/en/documents/prac-recommendation/prac-recommendations-signals-adopted-prac-meeting-3-6-february-2014_en.pdf" TargetMode="External"/><Relationship Id="rId2" Type="http://schemas.openxmlformats.org/officeDocument/2006/relationships/numbering" Target="numbering.xml"/><Relationship Id="rId16" Type="http://schemas.openxmlformats.org/officeDocument/2006/relationships/hyperlink" Target="https://www.farmacotherapeutischkompa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documents/prac-recommendation/prac-recommendations-signals-adopted-25-29-september-2017-prac-meeting_en.pdf" TargetMode="External"/><Relationship Id="rId5" Type="http://schemas.openxmlformats.org/officeDocument/2006/relationships/webSettings" Target="webSettings.xml"/><Relationship Id="rId15" Type="http://schemas.openxmlformats.org/officeDocument/2006/relationships/hyperlink" Target="http://www.bcfi.be" TargetMode="External"/><Relationship Id="rId23" Type="http://schemas.openxmlformats.org/officeDocument/2006/relationships/theme" Target="theme/theme1.xml"/><Relationship Id="rId10" Type="http://schemas.openxmlformats.org/officeDocument/2006/relationships/hyperlink" Target="https://www.ema.europa.eu/en/documents/prac-recommendation/prac-recommendations-signals-adopted-prac-meeting-3-6-february-2014_en.pdf" TargetMode="External"/><Relationship Id="rId19" Type="http://schemas.openxmlformats.org/officeDocument/2006/relationships/hyperlink" Target="https://www.ema.europa.eu/en/documents/prac-recommendation/prac-recommendations-signals-adopted-12-15-march-2019-prac-meeting_en.pdf" TargetMode="External"/><Relationship Id="rId4" Type="http://schemas.openxmlformats.org/officeDocument/2006/relationships/settings" Target="settings.xml"/><Relationship Id="rId9" Type="http://schemas.openxmlformats.org/officeDocument/2006/relationships/hyperlink" Target="https://www.hma.eu/fileadmin/dateien/Human_Medicines/CMD_h_/Product_Information/PhVWP_Recommendations/Paracetamol/Paracetamol-Summary_of_Assessment_outcome.pdf" TargetMode="External"/><Relationship Id="rId14" Type="http://schemas.openxmlformats.org/officeDocument/2006/relationships/hyperlink" Target="http://www.mhra.gov.uk/home/groups/par/documents/websiteresources/con065551.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D7057-2B1D-42CC-88B9-F7F602D3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2714</Words>
  <Characters>19027</Characters>
  <Application>Microsoft Office Word</Application>
  <DocSecurity>0</DocSecurity>
  <Lines>158</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SOCs</vt:lpstr>
      <vt:lpstr>SOCs</vt:lpstr>
    </vt:vector>
  </TitlesOfParts>
  <Company>AFIGP</Company>
  <LinksUpToDate>false</LinksUpToDate>
  <CharactersWithSpaces>21698</CharactersWithSpaces>
  <SharedDoc>false</SharedDoc>
  <HLinks>
    <vt:vector size="6" baseType="variant">
      <vt:variant>
        <vt:i4>6553656</vt:i4>
      </vt:variant>
      <vt:variant>
        <vt:i4>6</vt:i4>
      </vt:variant>
      <vt:variant>
        <vt:i4>0</vt:i4>
      </vt:variant>
      <vt:variant>
        <vt:i4>5</vt:i4>
      </vt:variant>
      <vt:variant>
        <vt:lpwstr>http://www.bcfi.be/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SOCs</dc:title>
  <dc:creator>Verlinden Veerle</dc:creator>
  <cp:lastModifiedBy>Roman Robert</cp:lastModifiedBy>
  <cp:revision>5</cp:revision>
  <cp:lastPrinted>2020-02-27T13:13:00Z</cp:lastPrinted>
  <dcterms:created xsi:type="dcterms:W3CDTF">2020-02-27T10:21:00Z</dcterms:created>
  <dcterms:modified xsi:type="dcterms:W3CDTF">2020-02-28T08:34:00Z</dcterms:modified>
</cp:coreProperties>
</file>